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B68C" w14:textId="578F98E1" w:rsidR="007C1112" w:rsidRDefault="00A11AD1">
      <w:pPr>
        <w:spacing w:after="191" w:line="259" w:lineRule="auto"/>
        <w:ind w:left="80" w:right="0" w:firstLine="0"/>
        <w:jc w:val="left"/>
      </w:pPr>
      <w:r>
        <w:rPr>
          <w:b/>
          <w:sz w:val="32"/>
        </w:rPr>
        <w:t xml:space="preserve">Incodia International </w:t>
      </w:r>
      <w:r w:rsidR="00446E73">
        <w:rPr>
          <w:b/>
          <w:sz w:val="32"/>
        </w:rPr>
        <w:t>Sustainable Sourcing Policy</w:t>
      </w:r>
    </w:p>
    <w:p w14:paraId="10CDC093" w14:textId="77777777" w:rsidR="007C1112" w:rsidRDefault="00446E73">
      <w:pPr>
        <w:pStyle w:val="Heading1"/>
        <w:ind w:left="-5" w:right="96"/>
      </w:pPr>
      <w:r>
        <w:t xml:space="preserve">Introduction </w:t>
      </w:r>
    </w:p>
    <w:p w14:paraId="7840898F" w14:textId="5A879D91" w:rsidR="007C1112" w:rsidRDefault="00406EFE">
      <w:pPr>
        <w:spacing w:after="158"/>
        <w:ind w:right="0"/>
      </w:pPr>
      <w:r>
        <w:t>Incodia International Limited</w:t>
      </w:r>
      <w:r w:rsidR="00446E73">
        <w:t xml:space="preserve"> is conscious of the responsibility we share with our suppliers for the welfare of workers who produce the </w:t>
      </w:r>
      <w:r>
        <w:t xml:space="preserve">components and materials used to manufacture the </w:t>
      </w:r>
      <w:r w:rsidR="00446E73">
        <w:t xml:space="preserve">goods we sell (directly and indirectly, in their business operations and within their supply chains). We seek to develop long-term partnerships with suppliers who share our values and who are prepared to commit themselves to our Code of Conduct for Ethical Trade which is consistent with internationally agreed conventions on workers’ rights and the Ethical Trading Initiative (ETI) Base Code encompassing ILO Core Conventions for decent work. Applying the Code to local circumstances takes time and requires sensitivity and understanding. Our desire is to see the Code adopted as a minimum standard and to see suppliers’ performance improving continuously. Our Code also includes a declaration of our intention to do business on fair terms, to operate transparently and to support suppliers to work beyond our code. We believe that by adopting and communicating this Code we, in partnership with our suppliers, are taking practical steps towards improving working conditions for the people who make and supply the </w:t>
      </w:r>
      <w:r>
        <w:t xml:space="preserve">components and materials used in the </w:t>
      </w:r>
      <w:r w:rsidR="00446E73">
        <w:t xml:space="preserve">products we sell.  </w:t>
      </w:r>
    </w:p>
    <w:p w14:paraId="5EEA3972" w14:textId="171522C9" w:rsidR="007C1112" w:rsidRDefault="00406EFE">
      <w:pPr>
        <w:spacing w:after="159"/>
        <w:ind w:right="0"/>
      </w:pPr>
      <w:r>
        <w:t>Incodia International Limited</w:t>
      </w:r>
      <w:r w:rsidR="00446E73">
        <w:t xml:space="preserve"> </w:t>
      </w:r>
      <w:r>
        <w:t>supports the</w:t>
      </w:r>
      <w:r w:rsidR="00446E73">
        <w:t xml:space="preserve"> uphold</w:t>
      </w:r>
      <w:r>
        <w:t>ing of</w:t>
      </w:r>
      <w:r w:rsidR="00446E73">
        <w:t xml:space="preserve"> and respect </w:t>
      </w:r>
      <w:r>
        <w:t xml:space="preserve">for </w:t>
      </w:r>
      <w:r w:rsidR="00446E73">
        <w:t>human rights</w:t>
      </w:r>
      <w:r>
        <w:t>,</w:t>
      </w:r>
      <w:r w:rsidR="00446E73">
        <w:t xml:space="preserve"> decent work and diversity and </w:t>
      </w:r>
      <w:r>
        <w:t>support the principles of the following</w:t>
      </w:r>
      <w:r w:rsidR="00446E73">
        <w:t xml:space="preserve">: </w:t>
      </w:r>
    </w:p>
    <w:p w14:paraId="5AAAA60D" w14:textId="77777777" w:rsidR="007C1112" w:rsidRDefault="00446E73">
      <w:pPr>
        <w:numPr>
          <w:ilvl w:val="0"/>
          <w:numId w:val="1"/>
        </w:numPr>
        <w:spacing w:after="126"/>
        <w:ind w:right="0" w:hanging="360"/>
      </w:pPr>
      <w:r>
        <w:t xml:space="preserve">United Nations (UN) declaration of Human Rights </w:t>
      </w:r>
    </w:p>
    <w:p w14:paraId="5FB1202E" w14:textId="77777777" w:rsidR="007C1112" w:rsidRDefault="00446E73">
      <w:pPr>
        <w:numPr>
          <w:ilvl w:val="0"/>
          <w:numId w:val="1"/>
        </w:numPr>
        <w:spacing w:after="163"/>
        <w:ind w:right="0" w:hanging="360"/>
      </w:pPr>
      <w:r>
        <w:t xml:space="preserve">UN Guiding Principles on Business and Human Rights </w:t>
      </w:r>
    </w:p>
    <w:p w14:paraId="292C6E49" w14:textId="77777777" w:rsidR="007C1112" w:rsidRDefault="00446E73">
      <w:pPr>
        <w:numPr>
          <w:ilvl w:val="0"/>
          <w:numId w:val="1"/>
        </w:numPr>
        <w:spacing w:after="103" w:line="259" w:lineRule="auto"/>
        <w:ind w:right="0" w:hanging="360"/>
      </w:pPr>
      <w:r>
        <w:t xml:space="preserve">UN Women’s Empowerment Principles that promote gender equality and women’s empowerment </w:t>
      </w:r>
    </w:p>
    <w:p w14:paraId="288FBDBD" w14:textId="77777777" w:rsidR="007C1112" w:rsidRDefault="00446E73">
      <w:pPr>
        <w:spacing w:after="198"/>
        <w:ind w:right="0"/>
      </w:pPr>
      <w:r>
        <w:t xml:space="preserve">We would encourage our suppliers to make similar commitments and implement and promote these within their operations and supply chains. One key area is the provision of effective grievance mechanisms to enable workers to raise grievances and access effective remedy free from retaliation. These mechanisms should take account of vulnerable groups such as women, </w:t>
      </w:r>
      <w:proofErr w:type="gramStart"/>
      <w:r>
        <w:t>smallholders</w:t>
      </w:r>
      <w:proofErr w:type="gramEnd"/>
      <w:r>
        <w:t xml:space="preserve"> and worker representatives. We would also encourage suppliers to publish data on the risks they identify, actions they take and key data such as gender pay gaps in their operations and relative supply chains.  </w:t>
      </w:r>
    </w:p>
    <w:p w14:paraId="2D6EBF9F" w14:textId="77777777" w:rsidR="007C1112" w:rsidRDefault="00446E73">
      <w:pPr>
        <w:pStyle w:val="Heading1"/>
        <w:spacing w:after="80"/>
        <w:ind w:left="-5" w:right="96"/>
      </w:pPr>
      <w:r>
        <w:t xml:space="preserve">Scope </w:t>
      </w:r>
    </w:p>
    <w:p w14:paraId="0CBA06F0" w14:textId="6FC6B9C0" w:rsidR="007C1112" w:rsidRDefault="00446E73">
      <w:pPr>
        <w:spacing w:after="199"/>
        <w:ind w:right="0"/>
      </w:pPr>
      <w:r>
        <w:t xml:space="preserve">The requirements outlined in this document are in addition to all applicable UK, EU and international legislation and industry best practice. </w:t>
      </w:r>
      <w:r w:rsidR="00406EFE">
        <w:t>Incodia’s</w:t>
      </w:r>
      <w:r>
        <w:t xml:space="preserve"> suppliers must ensure that they meet all requirements laid down in law at the point of manufacture and where they are finally sold to the customer. While the requirements set out below are intended to help you supply products suitable for </w:t>
      </w:r>
      <w:r w:rsidR="00406EFE">
        <w:t>Incodia</w:t>
      </w:r>
      <w:r>
        <w:t xml:space="preserve">, they do not absolve you of your responsibility to understand and comply with all the quality, legal and safety requirements for your products and the people who support your business to make these products. </w:t>
      </w:r>
    </w:p>
    <w:p w14:paraId="57A8E64D" w14:textId="77777777" w:rsidR="007C1112" w:rsidRDefault="00446E73">
      <w:pPr>
        <w:spacing w:after="155" w:line="267" w:lineRule="auto"/>
        <w:ind w:left="-5" w:right="96"/>
        <w:jc w:val="left"/>
      </w:pPr>
      <w:r>
        <w:rPr>
          <w:b/>
          <w:sz w:val="28"/>
        </w:rPr>
        <w:t xml:space="preserve">Who should implement this policy? </w:t>
      </w:r>
      <w:r>
        <w:rPr>
          <w:rFonts w:ascii="Calibri" w:eastAsia="Calibri" w:hAnsi="Calibri" w:cs="Calibri"/>
          <w:sz w:val="28"/>
          <w:vertAlign w:val="subscript"/>
        </w:rPr>
        <w:t xml:space="preserve"> </w:t>
      </w:r>
    </w:p>
    <w:p w14:paraId="0597EBE5" w14:textId="18C413BB" w:rsidR="007C1112" w:rsidRDefault="00446E73">
      <w:pPr>
        <w:spacing w:after="35"/>
        <w:ind w:right="0"/>
      </w:pPr>
      <w:r>
        <w:t xml:space="preserve">This supplier policy is intended for </w:t>
      </w:r>
      <w:r w:rsidR="00240C71">
        <w:t>Incodia’</w:t>
      </w:r>
      <w:r>
        <w:t xml:space="preserve">s direct suppliers, agents, central technical </w:t>
      </w:r>
      <w:proofErr w:type="gramStart"/>
      <w:r>
        <w:t>resource</w:t>
      </w:r>
      <w:proofErr w:type="gramEnd"/>
      <w:r>
        <w:t xml:space="preserve"> and virtual manufacturers who are responsible for ensuring compliance with </w:t>
      </w:r>
      <w:r w:rsidR="00240C71">
        <w:t>Incodia’s</w:t>
      </w:r>
      <w:r>
        <w:t xml:space="preserve"> Code of Conduct for Ethical Trade.   </w:t>
      </w:r>
    </w:p>
    <w:p w14:paraId="3535B59D" w14:textId="68852937" w:rsidR="00240C71" w:rsidRDefault="00240C71">
      <w:pPr>
        <w:spacing w:after="35"/>
        <w:ind w:right="0"/>
      </w:pPr>
    </w:p>
    <w:p w14:paraId="578B135F" w14:textId="49FFA011" w:rsidR="00240C71" w:rsidRDefault="00240C71">
      <w:pPr>
        <w:spacing w:after="35"/>
        <w:ind w:right="0"/>
      </w:pPr>
      <w:r>
        <w:t>Incodia requires a senior member of staff at our suppliers to be accountable for ensuring this policy is implemented at their production sites and by their suppliers, this member of staff should be communicated to the Supply Chain Manager</w:t>
      </w:r>
      <w:r w:rsidR="000B2B96">
        <w:t>. Incodia expects technical and human resource staff at direct suppliers to take operational responsibility for implementing this policy and developing and implementing an ethical trade strategy in their own operations and to cascade and improve these standards to their supply chain.</w:t>
      </w:r>
    </w:p>
    <w:p w14:paraId="6EAC7767" w14:textId="696D9257" w:rsidR="000B2B96" w:rsidRDefault="000B2B96">
      <w:pPr>
        <w:spacing w:after="35"/>
        <w:ind w:right="0"/>
      </w:pPr>
    </w:p>
    <w:p w14:paraId="0B8E6D8D" w14:textId="77777777" w:rsidR="000B2B96" w:rsidRDefault="000B2B96">
      <w:pPr>
        <w:spacing w:after="35"/>
        <w:ind w:right="0"/>
        <w:rPr>
          <w:b/>
          <w:sz w:val="28"/>
        </w:rPr>
      </w:pPr>
    </w:p>
    <w:p w14:paraId="0B471164" w14:textId="77777777" w:rsidR="000B2B96" w:rsidRDefault="000B2B96">
      <w:pPr>
        <w:spacing w:after="35"/>
        <w:ind w:right="0"/>
        <w:rPr>
          <w:b/>
          <w:sz w:val="28"/>
        </w:rPr>
      </w:pPr>
    </w:p>
    <w:p w14:paraId="11BB9A71" w14:textId="77777777" w:rsidR="000B2B96" w:rsidRDefault="000B2B96">
      <w:pPr>
        <w:spacing w:after="35"/>
        <w:ind w:right="0"/>
        <w:rPr>
          <w:b/>
          <w:sz w:val="28"/>
        </w:rPr>
      </w:pPr>
    </w:p>
    <w:p w14:paraId="2B941169" w14:textId="74DC9B6E" w:rsidR="000B2B96" w:rsidRPr="000B2B96" w:rsidRDefault="000B2B96">
      <w:pPr>
        <w:spacing w:after="35"/>
        <w:ind w:right="0"/>
        <w:rPr>
          <w:b/>
          <w:sz w:val="28"/>
        </w:rPr>
      </w:pPr>
      <w:r w:rsidRPr="000B2B96">
        <w:rPr>
          <w:b/>
          <w:sz w:val="28"/>
        </w:rPr>
        <w:t>How to use it</w:t>
      </w:r>
    </w:p>
    <w:p w14:paraId="5A1D4BD3" w14:textId="4E43C385" w:rsidR="007C1112" w:rsidRDefault="000B2B96" w:rsidP="000B2B96">
      <w:pPr>
        <w:spacing w:after="35"/>
        <w:ind w:right="0"/>
      </w:pPr>
      <w:r>
        <w:t xml:space="preserve">This document is intended to support suppliers to effectively carry out their ethical trading </w:t>
      </w:r>
      <w:proofErr w:type="gramStart"/>
      <w:r>
        <w:t>responsibilities, and</w:t>
      </w:r>
      <w:proofErr w:type="gramEnd"/>
      <w:r>
        <w:t xml:space="preserve"> meet Incodia’s ethical commitments. It builds on our Code of Conduct and outlines how suppliers should implement our Code of Conduct.</w:t>
      </w:r>
    </w:p>
    <w:p w14:paraId="18B0A933" w14:textId="77777777" w:rsidR="000B2B96" w:rsidRDefault="000B2B96" w:rsidP="000B2B96">
      <w:pPr>
        <w:spacing w:after="35"/>
        <w:ind w:right="0"/>
      </w:pPr>
    </w:p>
    <w:p w14:paraId="00F02C44" w14:textId="77777777" w:rsidR="007C1112" w:rsidRDefault="00446E73">
      <w:pPr>
        <w:pStyle w:val="Heading1"/>
        <w:ind w:left="174" w:right="96"/>
      </w:pPr>
      <w:r>
        <w:t xml:space="preserve">External Position Statement – Our Principles  </w:t>
      </w:r>
    </w:p>
    <w:p w14:paraId="18DED000" w14:textId="58A95CB8" w:rsidR="007C1112" w:rsidRDefault="00446E73">
      <w:pPr>
        <w:spacing w:after="238"/>
        <w:ind w:left="159" w:right="577"/>
      </w:pPr>
      <w:r>
        <w:t xml:space="preserve">At </w:t>
      </w:r>
      <w:r w:rsidR="000B2B96">
        <w:t>Incodia</w:t>
      </w:r>
      <w:r>
        <w:t xml:space="preserve"> we expect strong social and environmental standards from suppliers, but we recognise that many need practical help and support in implementing more sustainable practices. Our challenge is to build supply chains that maximise the positive social and environmental impacts whilst building resilience to the social and environmental challenges facing the industry, working closely with farmers, producers and processors to champion and embed excellence in sustainability.  </w:t>
      </w:r>
    </w:p>
    <w:p w14:paraId="36DE4951" w14:textId="77777777" w:rsidR="007C1112" w:rsidRDefault="00446E73">
      <w:pPr>
        <w:pStyle w:val="Heading2"/>
        <w:spacing w:after="3" w:line="259" w:lineRule="auto"/>
        <w:ind w:left="159"/>
      </w:pPr>
      <w:r>
        <w:rPr>
          <w:sz w:val="24"/>
        </w:rPr>
        <w:t>Commitment to Ethical Trade</w:t>
      </w:r>
      <w:r>
        <w:rPr>
          <w:b w:val="0"/>
          <w:sz w:val="24"/>
        </w:rPr>
        <w:t xml:space="preserve">, Human and Gender Rights </w:t>
      </w:r>
    </w:p>
    <w:p w14:paraId="08AF6D6B" w14:textId="2609F459" w:rsidR="007C1112" w:rsidRDefault="00446E73">
      <w:pPr>
        <w:spacing w:after="35"/>
        <w:ind w:left="159" w:right="578"/>
      </w:pPr>
      <w:r>
        <w:t xml:space="preserve">Ethical trading is an important company objective. We are committed to providing sufficient resources to ensure our commitments are fulfilled. We require all our suppliers to meet the </w:t>
      </w:r>
      <w:r w:rsidR="00715B4D">
        <w:t>Incodia</w:t>
      </w:r>
      <w:r>
        <w:t xml:space="preserve"> Code of Conduct for Ethical Trade which is based on the ETI Base Code for ethical sourcing. Our Code covers 12 key principles, including safe and hygienic working conditions and payment of a fair wage. We would encourage suppliers to also commit to: </w:t>
      </w:r>
    </w:p>
    <w:p w14:paraId="4D056861" w14:textId="77777777" w:rsidR="007C1112" w:rsidRDefault="00446E73">
      <w:pPr>
        <w:numPr>
          <w:ilvl w:val="0"/>
          <w:numId w:val="2"/>
        </w:numPr>
        <w:spacing w:after="130"/>
        <w:ind w:right="0" w:hanging="360"/>
      </w:pPr>
      <w:r>
        <w:t xml:space="preserve">United Nations (UN) declaration of Human Rights </w:t>
      </w:r>
    </w:p>
    <w:p w14:paraId="63822827" w14:textId="77777777" w:rsidR="007C1112" w:rsidRDefault="00446E73">
      <w:pPr>
        <w:numPr>
          <w:ilvl w:val="0"/>
          <w:numId w:val="2"/>
        </w:numPr>
        <w:spacing w:after="163"/>
        <w:ind w:right="0" w:hanging="360"/>
      </w:pPr>
      <w:r>
        <w:t xml:space="preserve">UN Guiding Principles on Business and Human Rights </w:t>
      </w:r>
    </w:p>
    <w:p w14:paraId="134B54FC" w14:textId="77777777" w:rsidR="007C1112" w:rsidRDefault="00446E73">
      <w:pPr>
        <w:numPr>
          <w:ilvl w:val="0"/>
          <w:numId w:val="2"/>
        </w:numPr>
        <w:spacing w:after="146"/>
        <w:ind w:right="0" w:hanging="360"/>
      </w:pPr>
      <w:r>
        <w:t xml:space="preserve">UN Women’s Empowerment Principles that promote gender equality and women’s empowerment </w:t>
      </w:r>
    </w:p>
    <w:p w14:paraId="4C0801D7" w14:textId="77777777" w:rsidR="007C1112" w:rsidRDefault="00446E73">
      <w:pPr>
        <w:spacing w:after="26"/>
        <w:ind w:left="159" w:right="573"/>
      </w:pPr>
      <w:r>
        <w:t xml:space="preserve">This means taking a broader view and applying a gender lens to all elements of work and reporting progress and ongoing challenges. Our commitment to ethical and responsible sourcing is ongoing and we work with suppliers to ensure they continuously improve their performance in these areas. We also recognise the need to communicate this commitment to key stakeholders including the public, suppliers and the people who work in our supply chains. </w:t>
      </w:r>
    </w:p>
    <w:p w14:paraId="6A3B7B15" w14:textId="77777777" w:rsidR="007C1112" w:rsidRDefault="00446E73">
      <w:pPr>
        <w:spacing w:after="66" w:line="259" w:lineRule="auto"/>
        <w:ind w:left="164" w:right="0" w:firstLine="0"/>
        <w:jc w:val="left"/>
      </w:pPr>
      <w:r>
        <w:t xml:space="preserve"> </w:t>
      </w:r>
    </w:p>
    <w:p w14:paraId="06EDB6A4" w14:textId="77777777" w:rsidR="007C1112" w:rsidRDefault="00446E73">
      <w:pPr>
        <w:pStyle w:val="Heading2"/>
        <w:spacing w:after="3" w:line="259" w:lineRule="auto"/>
        <w:ind w:left="159"/>
      </w:pPr>
      <w:r>
        <w:rPr>
          <w:sz w:val="24"/>
        </w:rPr>
        <w:t xml:space="preserve">Fair Terms of Trading </w:t>
      </w:r>
      <w:r>
        <w:t xml:space="preserve"> </w:t>
      </w:r>
    </w:p>
    <w:p w14:paraId="6884552B" w14:textId="77777777" w:rsidR="007C1112" w:rsidRDefault="00446E73">
      <w:pPr>
        <w:ind w:left="159" w:right="577"/>
      </w:pPr>
      <w:r>
        <w:t xml:space="preserve">We recognise the contribution that stable business relationships make to the observance of good labour practices and endeavour to establish long-term and productive relationships with our suppliers. We are committed to dealing openly and fairly with suppliers including smallholders, adhering to contract </w:t>
      </w:r>
      <w:proofErr w:type="gramStart"/>
      <w:r>
        <w:t>terms</w:t>
      </w:r>
      <w:proofErr w:type="gramEnd"/>
      <w:r>
        <w:t xml:space="preserve"> and avoiding the exertion of undue pressure. </w:t>
      </w:r>
      <w:r>
        <w:rPr>
          <w:sz w:val="24"/>
        </w:rPr>
        <w:t xml:space="preserve"> </w:t>
      </w:r>
    </w:p>
    <w:p w14:paraId="37C4372D" w14:textId="77777777" w:rsidR="007C1112" w:rsidRDefault="00446E73">
      <w:pPr>
        <w:spacing w:after="14" w:line="259" w:lineRule="auto"/>
        <w:ind w:left="164" w:right="0" w:firstLine="0"/>
        <w:jc w:val="left"/>
      </w:pPr>
      <w:r>
        <w:rPr>
          <w:b/>
          <w:sz w:val="24"/>
        </w:rPr>
        <w:t xml:space="preserve"> </w:t>
      </w:r>
    </w:p>
    <w:p w14:paraId="7D858A0B" w14:textId="77777777" w:rsidR="007C1112" w:rsidRDefault="00446E73">
      <w:pPr>
        <w:pStyle w:val="Heading2"/>
        <w:spacing w:after="3" w:line="259" w:lineRule="auto"/>
        <w:ind w:left="159"/>
      </w:pPr>
      <w:r>
        <w:rPr>
          <w:sz w:val="24"/>
        </w:rPr>
        <w:t xml:space="preserve">Building the Capacity of Ourselves and Others </w:t>
      </w:r>
      <w:r>
        <w:t xml:space="preserve"> </w:t>
      </w:r>
    </w:p>
    <w:p w14:paraId="070DB9E4" w14:textId="1E3C35A6" w:rsidR="007C1112" w:rsidRDefault="00446E73">
      <w:pPr>
        <w:ind w:left="159" w:right="578"/>
      </w:pPr>
      <w:r>
        <w:t xml:space="preserve">We are aware that both colleagues and our suppliers’ staff need to understand the importance of ethical trade and that they must be able to identify and resolve ethical issues. We are committed to providing guidance, training and support to suppliers where needed and to ensuring workers in our supply chain are aware of the provisions of the Base Code and our commitment to ethical trade. We view effective management systems as crucial for monitoring and tracking our own and suppliers’ issues. We view it as essential that workers have knowledge of their rights and </w:t>
      </w:r>
      <w:proofErr w:type="gramStart"/>
      <w:r>
        <w:t>are able to</w:t>
      </w:r>
      <w:proofErr w:type="gramEnd"/>
      <w:r>
        <w:t xml:space="preserve"> report any issues confidentially and without detriment to a designated person/committee. </w:t>
      </w:r>
      <w:r>
        <w:rPr>
          <w:sz w:val="24"/>
        </w:rPr>
        <w:t xml:space="preserve"> </w:t>
      </w:r>
    </w:p>
    <w:p w14:paraId="34A116E7" w14:textId="77777777" w:rsidR="007C1112" w:rsidRDefault="00446E73">
      <w:pPr>
        <w:spacing w:after="14" w:line="259" w:lineRule="auto"/>
        <w:ind w:left="164" w:right="0" w:firstLine="0"/>
        <w:jc w:val="left"/>
      </w:pPr>
      <w:r>
        <w:rPr>
          <w:b/>
          <w:sz w:val="24"/>
        </w:rPr>
        <w:t xml:space="preserve"> </w:t>
      </w:r>
    </w:p>
    <w:p w14:paraId="22F862CD" w14:textId="77777777" w:rsidR="007C1112" w:rsidRDefault="00446E73">
      <w:pPr>
        <w:pStyle w:val="Heading2"/>
        <w:spacing w:after="3" w:line="259" w:lineRule="auto"/>
        <w:ind w:left="159"/>
      </w:pPr>
      <w:r>
        <w:rPr>
          <w:sz w:val="24"/>
        </w:rPr>
        <w:t xml:space="preserve">Monitoring our Supply Chains </w:t>
      </w:r>
      <w:r>
        <w:t xml:space="preserve"> </w:t>
      </w:r>
    </w:p>
    <w:p w14:paraId="2DF325DF" w14:textId="6709008C" w:rsidR="007C1112" w:rsidRDefault="00446E73">
      <w:pPr>
        <w:ind w:left="159" w:right="576"/>
      </w:pPr>
      <w:r>
        <w:t xml:space="preserve">We recognise the importance of being aware of labour practices in our supply chains and the need to monitor, evaluate and act on information about our suppliers’, </w:t>
      </w:r>
      <w:proofErr w:type="gramStart"/>
      <w:r>
        <w:t>sites’</w:t>
      </w:r>
      <w:proofErr w:type="gramEnd"/>
      <w:r>
        <w:t xml:space="preserve"> and </w:t>
      </w:r>
      <w:r w:rsidR="00715B4D">
        <w:t>their</w:t>
      </w:r>
      <w:r>
        <w:t xml:space="preserve"> performance. To do this, we use a range of tools including audits of suppliers and sites, self-assessment questionnaires and confidential mechanisms for workers to highlight issues. We view access to grievance </w:t>
      </w:r>
      <w:r>
        <w:lastRenderedPageBreak/>
        <w:t xml:space="preserve">mechanism and facilitating effective worker and supplier communication as critical for identifying and resolving supply chain issues. </w:t>
      </w:r>
      <w:r>
        <w:rPr>
          <w:sz w:val="24"/>
        </w:rPr>
        <w:t xml:space="preserve"> </w:t>
      </w:r>
    </w:p>
    <w:p w14:paraId="640095DB" w14:textId="77777777" w:rsidR="007C1112" w:rsidRDefault="00446E73">
      <w:pPr>
        <w:spacing w:after="14" w:line="259" w:lineRule="auto"/>
        <w:ind w:left="164" w:right="0" w:firstLine="0"/>
        <w:jc w:val="left"/>
      </w:pPr>
      <w:r>
        <w:rPr>
          <w:b/>
          <w:sz w:val="24"/>
        </w:rPr>
        <w:t xml:space="preserve"> </w:t>
      </w:r>
    </w:p>
    <w:p w14:paraId="0581D518" w14:textId="77777777" w:rsidR="007C1112" w:rsidRDefault="00446E73">
      <w:pPr>
        <w:pStyle w:val="Heading2"/>
        <w:spacing w:after="3" w:line="259" w:lineRule="auto"/>
        <w:ind w:left="159"/>
      </w:pPr>
      <w:r>
        <w:rPr>
          <w:sz w:val="24"/>
        </w:rPr>
        <w:t xml:space="preserve">Being Transparent </w:t>
      </w:r>
      <w:r>
        <w:t xml:space="preserve"> </w:t>
      </w:r>
    </w:p>
    <w:p w14:paraId="60D8A7B9" w14:textId="6C9AD454" w:rsidR="007C1112" w:rsidRDefault="00446E73">
      <w:pPr>
        <w:spacing w:after="78"/>
        <w:ind w:left="159" w:right="588"/>
      </w:pPr>
      <w:r>
        <w:t xml:space="preserve">We aim to be transparent with all our stakeholders on our ethical trade performance and would encourage our suppliers to do likewise. We appreciate that you might be worried about sharing issues with </w:t>
      </w:r>
      <w:r>
        <w:rPr>
          <w:u w:val="single" w:color="000000"/>
        </w:rPr>
        <w:t>us; however it is better that we understan</w:t>
      </w:r>
      <w:r w:rsidR="00715B4D">
        <w:rPr>
          <w:u w:val="single" w:color="000000"/>
        </w:rPr>
        <w:t>d</w:t>
      </w:r>
      <w:r>
        <w:rPr>
          <w:u w:val="single" w:color="000000"/>
        </w:rPr>
        <w:t xml:space="preserve"> and work together </w:t>
      </w:r>
      <w:proofErr w:type="gramStart"/>
      <w:r>
        <w:rPr>
          <w:u w:val="single" w:color="000000"/>
        </w:rPr>
        <w:t>to</w:t>
      </w:r>
      <w:r>
        <w:rPr>
          <w:vertAlign w:val="superscript"/>
        </w:rPr>
        <w:t xml:space="preserve"> </w:t>
      </w:r>
      <w:r>
        <w:rPr>
          <w:u w:val="single" w:color="000000"/>
        </w:rPr>
        <w:t xml:space="preserve"> improve</w:t>
      </w:r>
      <w:proofErr w:type="gramEnd"/>
      <w:r>
        <w:rPr>
          <w:u w:val="single" w:color="000000"/>
        </w:rPr>
        <w:t xml:space="preserve"> t</w:t>
      </w:r>
      <w:r>
        <w:t xml:space="preserve">he situation. </w:t>
      </w:r>
    </w:p>
    <w:p w14:paraId="72A75246" w14:textId="16E4E4F4" w:rsidR="007C1112" w:rsidRDefault="00446E73">
      <w:pPr>
        <w:tabs>
          <w:tab w:val="center" w:pos="7339"/>
        </w:tabs>
        <w:ind w:left="0" w:right="0" w:firstLine="0"/>
        <w:jc w:val="left"/>
      </w:pPr>
      <w:r>
        <w:t>Together, we aim to respond rapidly and fully to ethical issues</w:t>
      </w:r>
      <w:r w:rsidR="00715B4D">
        <w:t xml:space="preserve"> </w:t>
      </w:r>
      <w:r>
        <w:rPr>
          <w:sz w:val="24"/>
        </w:rPr>
        <w:t>in our supply chains.</w:t>
      </w:r>
      <w:r>
        <w:rPr>
          <w:sz w:val="28"/>
        </w:rPr>
        <w:t xml:space="preserve"> </w:t>
      </w:r>
    </w:p>
    <w:p w14:paraId="180C411E" w14:textId="77777777" w:rsidR="007C1112" w:rsidRDefault="00446E73">
      <w:pPr>
        <w:spacing w:after="15" w:line="259" w:lineRule="auto"/>
        <w:ind w:left="164" w:right="0" w:firstLine="0"/>
        <w:jc w:val="left"/>
      </w:pPr>
      <w:r>
        <w:t xml:space="preserve"> </w:t>
      </w:r>
    </w:p>
    <w:p w14:paraId="69F7F01F" w14:textId="4D40CFD1" w:rsidR="007C1112" w:rsidRDefault="00446E73" w:rsidP="00715B4D">
      <w:pPr>
        <w:spacing w:after="23" w:line="259" w:lineRule="auto"/>
        <w:ind w:left="164" w:right="0" w:firstLine="0"/>
        <w:jc w:val="left"/>
      </w:pPr>
      <w:r>
        <w:t xml:space="preserve">  </w:t>
      </w:r>
    </w:p>
    <w:p w14:paraId="67C3C6DA" w14:textId="77777777" w:rsidR="007C1112" w:rsidRDefault="00446E73">
      <w:pPr>
        <w:pStyle w:val="Heading2"/>
        <w:spacing w:after="200" w:line="259" w:lineRule="auto"/>
        <w:ind w:left="159"/>
      </w:pPr>
      <w:r>
        <w:rPr>
          <w:sz w:val="24"/>
        </w:rPr>
        <w:t xml:space="preserve">Striving for Improvement </w:t>
      </w:r>
      <w:r>
        <w:t xml:space="preserve"> </w:t>
      </w:r>
    </w:p>
    <w:p w14:paraId="5CB0811F" w14:textId="05CAE157" w:rsidR="007C1112" w:rsidRDefault="00446E73">
      <w:pPr>
        <w:ind w:left="159" w:right="580"/>
      </w:pPr>
      <w:r>
        <w:t xml:space="preserve">We recognise that many ethical trade issues can take time and effort to resolve. As a minimum, we require our suppliers to work towards compliance with our Code of Conduct or the local law – whichever provision affords the greater protection to workers. We expect suppliers to work to resolve issues identified in a timely manner and to engage workers’ organisations in identifying and resolving issues. In the longer-term, we will work with suppliers and workers to develop best practice on ethical trade and positive examples which secure workers’ rights alongside benefiting our suppliers’ businesses and our own. As a business, we take a collaborative and supportive approach when serious issues are raised, rather than cutting off the relationship. We seek to help suppliers on their ethical journeys and support them through meetings, capacity building and collaborative forums. </w:t>
      </w:r>
    </w:p>
    <w:p w14:paraId="23C93F8A" w14:textId="77777777" w:rsidR="00B07E0D" w:rsidRDefault="00446E73">
      <w:pPr>
        <w:spacing w:after="0" w:line="259" w:lineRule="auto"/>
        <w:ind w:left="0" w:right="0" w:firstLine="0"/>
        <w:jc w:val="left"/>
        <w:rPr>
          <w:b/>
          <w:sz w:val="28"/>
        </w:rPr>
      </w:pPr>
      <w:r>
        <w:rPr>
          <w:rFonts w:ascii="Calibri" w:eastAsia="Calibri" w:hAnsi="Calibri" w:cs="Calibri"/>
        </w:rPr>
        <w:t xml:space="preserve"> </w:t>
      </w:r>
      <w:r>
        <w:rPr>
          <w:b/>
          <w:sz w:val="28"/>
        </w:rPr>
        <w:t xml:space="preserve"> </w:t>
      </w:r>
    </w:p>
    <w:p w14:paraId="2F731073" w14:textId="4DDB46C4" w:rsidR="00367BA5" w:rsidRPr="00532713" w:rsidRDefault="00367BA5" w:rsidP="00532713">
      <w:pPr>
        <w:pStyle w:val="Heading2"/>
        <w:spacing w:after="200" w:line="259" w:lineRule="auto"/>
        <w:ind w:left="159"/>
        <w:rPr>
          <w:sz w:val="24"/>
        </w:rPr>
      </w:pPr>
      <w:r w:rsidRPr="00532713">
        <w:rPr>
          <w:sz w:val="24"/>
        </w:rPr>
        <w:t>Incodia Supplier Code of Conduct for Ethical Trade</w:t>
      </w:r>
    </w:p>
    <w:p w14:paraId="7036A9A9" w14:textId="7C17BE23" w:rsidR="00367BA5" w:rsidRDefault="00367BA5">
      <w:pPr>
        <w:spacing w:after="0" w:line="259" w:lineRule="auto"/>
        <w:ind w:left="0" w:right="0" w:firstLine="0"/>
        <w:jc w:val="left"/>
      </w:pPr>
    </w:p>
    <w:p w14:paraId="1DAC711E" w14:textId="72432B2E" w:rsidR="00367BA5" w:rsidRDefault="00367BA5" w:rsidP="00367BA5">
      <w:pPr>
        <w:spacing w:after="160" w:line="259" w:lineRule="auto"/>
        <w:ind w:left="0" w:right="0" w:firstLine="0"/>
        <w:jc w:val="left"/>
        <w:rPr>
          <w:color w:val="0000FF"/>
          <w:u w:val="single" w:color="0000FF"/>
        </w:rPr>
      </w:pPr>
      <w:r>
        <w:t xml:space="preserve">Incodia’s Supplier Code of Conduct is based on the Ethical Trading Initiative (ETI) Base Code. For more information on the ETI base code please visit </w:t>
      </w:r>
      <w:hyperlink r:id="rId7" w:history="1">
        <w:r w:rsidRPr="00787045">
          <w:rPr>
            <w:rStyle w:val="Hyperlink"/>
          </w:rPr>
          <w:t>http://www.ethicaltrade.org/eti-base-code</w:t>
        </w:r>
      </w:hyperlink>
    </w:p>
    <w:p w14:paraId="15DC6DF6" w14:textId="1E7CD514" w:rsidR="00367BA5" w:rsidRDefault="00367BA5" w:rsidP="00367BA5">
      <w:pPr>
        <w:pStyle w:val="ListParagraph"/>
        <w:numPr>
          <w:ilvl w:val="0"/>
          <w:numId w:val="13"/>
        </w:numPr>
        <w:spacing w:after="160" w:line="259" w:lineRule="auto"/>
        <w:ind w:right="0"/>
        <w:jc w:val="left"/>
      </w:pPr>
      <w:r>
        <w:t>Employment is freely chosen</w:t>
      </w:r>
    </w:p>
    <w:p w14:paraId="36072AD2" w14:textId="434CE8B5" w:rsidR="00367BA5" w:rsidRDefault="00367BA5" w:rsidP="00367BA5">
      <w:pPr>
        <w:pStyle w:val="ListParagraph"/>
        <w:numPr>
          <w:ilvl w:val="0"/>
          <w:numId w:val="13"/>
        </w:numPr>
        <w:spacing w:after="160" w:line="259" w:lineRule="auto"/>
        <w:ind w:right="0"/>
        <w:jc w:val="left"/>
      </w:pPr>
      <w:r>
        <w:t>Freedom of association and the right to collective bargaining are respected</w:t>
      </w:r>
    </w:p>
    <w:p w14:paraId="78885333" w14:textId="56CC81B1" w:rsidR="00367BA5" w:rsidRDefault="00367BA5" w:rsidP="00367BA5">
      <w:pPr>
        <w:pStyle w:val="ListParagraph"/>
        <w:numPr>
          <w:ilvl w:val="0"/>
          <w:numId w:val="13"/>
        </w:numPr>
        <w:spacing w:after="160" w:line="259" w:lineRule="auto"/>
        <w:ind w:right="0"/>
        <w:jc w:val="left"/>
      </w:pPr>
      <w:r>
        <w:t>Working conditions are safe and hygienic</w:t>
      </w:r>
    </w:p>
    <w:p w14:paraId="3D71A1D3" w14:textId="46B15CEB" w:rsidR="00367BA5" w:rsidRDefault="00367BA5" w:rsidP="00367BA5">
      <w:pPr>
        <w:pStyle w:val="ListParagraph"/>
        <w:numPr>
          <w:ilvl w:val="0"/>
          <w:numId w:val="13"/>
        </w:numPr>
        <w:spacing w:after="160" w:line="259" w:lineRule="auto"/>
        <w:ind w:right="0"/>
        <w:jc w:val="left"/>
      </w:pPr>
      <w:r>
        <w:t>Child Labour shall not be used</w:t>
      </w:r>
    </w:p>
    <w:p w14:paraId="1D468D19" w14:textId="22C8151E" w:rsidR="00367BA5" w:rsidRDefault="009F10F4" w:rsidP="00367BA5">
      <w:pPr>
        <w:pStyle w:val="ListParagraph"/>
        <w:numPr>
          <w:ilvl w:val="0"/>
          <w:numId w:val="13"/>
        </w:numPr>
        <w:spacing w:after="160" w:line="259" w:lineRule="auto"/>
        <w:ind w:right="0"/>
        <w:jc w:val="left"/>
      </w:pPr>
      <w:r>
        <w:t>Living wages are paid</w:t>
      </w:r>
    </w:p>
    <w:p w14:paraId="70DEF1D4" w14:textId="64D3E416" w:rsidR="009F10F4" w:rsidRDefault="009F10F4" w:rsidP="00367BA5">
      <w:pPr>
        <w:pStyle w:val="ListParagraph"/>
        <w:numPr>
          <w:ilvl w:val="0"/>
          <w:numId w:val="13"/>
        </w:numPr>
        <w:spacing w:after="160" w:line="259" w:lineRule="auto"/>
        <w:ind w:right="0"/>
        <w:jc w:val="left"/>
      </w:pPr>
      <w:r>
        <w:t>Working hours are not excessive</w:t>
      </w:r>
    </w:p>
    <w:p w14:paraId="2FE20A51" w14:textId="33105704" w:rsidR="009F10F4" w:rsidRDefault="009F10F4" w:rsidP="00367BA5">
      <w:pPr>
        <w:pStyle w:val="ListParagraph"/>
        <w:numPr>
          <w:ilvl w:val="0"/>
          <w:numId w:val="13"/>
        </w:numPr>
        <w:spacing w:after="160" w:line="259" w:lineRule="auto"/>
        <w:ind w:right="0"/>
        <w:jc w:val="left"/>
      </w:pPr>
      <w:r>
        <w:t>No discrimination is practised</w:t>
      </w:r>
    </w:p>
    <w:p w14:paraId="14E70BBF" w14:textId="454EDDF8" w:rsidR="009F10F4" w:rsidRDefault="009F10F4" w:rsidP="00367BA5">
      <w:pPr>
        <w:pStyle w:val="ListParagraph"/>
        <w:numPr>
          <w:ilvl w:val="0"/>
          <w:numId w:val="13"/>
        </w:numPr>
        <w:spacing w:after="160" w:line="259" w:lineRule="auto"/>
        <w:ind w:right="0"/>
        <w:jc w:val="left"/>
      </w:pPr>
      <w:r>
        <w:t>Regular employment is provided</w:t>
      </w:r>
    </w:p>
    <w:p w14:paraId="7DA659BE" w14:textId="6FEA0D3D" w:rsidR="009F10F4" w:rsidRPr="00367BA5" w:rsidRDefault="009F10F4" w:rsidP="00367BA5">
      <w:pPr>
        <w:pStyle w:val="ListParagraph"/>
        <w:numPr>
          <w:ilvl w:val="0"/>
          <w:numId w:val="13"/>
        </w:numPr>
        <w:spacing w:after="160" w:line="259" w:lineRule="auto"/>
        <w:ind w:right="0"/>
        <w:jc w:val="left"/>
      </w:pPr>
      <w:r>
        <w:t>No harsh or inhumane treatment is allowed</w:t>
      </w:r>
    </w:p>
    <w:p w14:paraId="276C0314" w14:textId="77777777" w:rsidR="00367BA5" w:rsidRDefault="00367BA5" w:rsidP="00367BA5">
      <w:pPr>
        <w:spacing w:after="160" w:line="259" w:lineRule="auto"/>
        <w:ind w:left="0" w:right="0" w:firstLine="0"/>
        <w:jc w:val="left"/>
      </w:pPr>
    </w:p>
    <w:p w14:paraId="35E64DC2" w14:textId="7B7C3D46" w:rsidR="00367BA5" w:rsidRDefault="00367BA5">
      <w:pPr>
        <w:spacing w:after="0" w:line="259" w:lineRule="auto"/>
        <w:ind w:left="0" w:right="0" w:firstLine="0"/>
        <w:jc w:val="left"/>
      </w:pPr>
    </w:p>
    <w:p w14:paraId="55A192F2" w14:textId="328F3F6E" w:rsidR="00367BA5" w:rsidRDefault="00367BA5">
      <w:pPr>
        <w:spacing w:after="0" w:line="259" w:lineRule="auto"/>
        <w:ind w:left="0" w:right="0" w:firstLine="0"/>
        <w:jc w:val="left"/>
      </w:pPr>
    </w:p>
    <w:p w14:paraId="3C813FEB" w14:textId="77777777" w:rsidR="00367BA5" w:rsidRDefault="00367BA5">
      <w:pPr>
        <w:spacing w:after="0" w:line="259" w:lineRule="auto"/>
        <w:ind w:left="0" w:right="0" w:firstLine="0"/>
        <w:jc w:val="left"/>
      </w:pPr>
    </w:p>
    <w:p w14:paraId="4A689666" w14:textId="010AC9BC" w:rsidR="007C1112" w:rsidRDefault="00446E73">
      <w:pPr>
        <w:spacing w:after="0" w:line="259" w:lineRule="auto"/>
        <w:ind w:left="-1137" w:right="11488" w:firstLine="0"/>
        <w:jc w:val="left"/>
      </w:pPr>
      <w:r>
        <w:br w:type="page"/>
      </w:r>
    </w:p>
    <w:p w14:paraId="295EA29E" w14:textId="77777777" w:rsidR="007C1112" w:rsidRDefault="00446E73">
      <w:pPr>
        <w:pStyle w:val="Heading2"/>
        <w:ind w:left="-5" w:right="96"/>
      </w:pPr>
      <w:r>
        <w:lastRenderedPageBreak/>
        <w:t xml:space="preserve">Management Criteria  </w:t>
      </w:r>
    </w:p>
    <w:p w14:paraId="2E915FE4" w14:textId="77777777" w:rsidR="007C1112" w:rsidRDefault="00446E73">
      <w:pPr>
        <w:spacing w:after="12" w:line="269" w:lineRule="auto"/>
        <w:ind w:left="10" w:right="0"/>
        <w:jc w:val="left"/>
      </w:pPr>
      <w:r>
        <w:rPr>
          <w:b/>
          <w:sz w:val="24"/>
        </w:rPr>
        <w:t xml:space="preserve">Accountability: </w:t>
      </w:r>
      <w:r>
        <w:rPr>
          <w:sz w:val="24"/>
        </w:rPr>
        <w:t>You should have a senior manager responsible for ensuring this policy is implemented within the supplier businesses and their supply chain.</w:t>
      </w:r>
      <w:r>
        <w:rPr>
          <w:b/>
          <w:sz w:val="24"/>
        </w:rPr>
        <w:t xml:space="preserve">  </w:t>
      </w:r>
    </w:p>
    <w:p w14:paraId="1A18752A" w14:textId="77777777" w:rsidR="007C1112" w:rsidRPr="00B07E0D" w:rsidRDefault="00446E73">
      <w:pPr>
        <w:spacing w:after="66" w:line="259" w:lineRule="auto"/>
        <w:ind w:left="0" w:right="0" w:firstLine="0"/>
        <w:jc w:val="left"/>
        <w:rPr>
          <w:sz w:val="20"/>
          <w:szCs w:val="20"/>
        </w:rPr>
      </w:pPr>
      <w:r>
        <w:rPr>
          <w:b/>
          <w:sz w:val="28"/>
        </w:rPr>
        <w:t xml:space="preserve"> </w:t>
      </w:r>
    </w:p>
    <w:p w14:paraId="37537CBD" w14:textId="77777777" w:rsidR="007C1112" w:rsidRDefault="00446E73">
      <w:pPr>
        <w:pStyle w:val="Heading2"/>
        <w:ind w:left="-5" w:right="96"/>
      </w:pPr>
      <w:r>
        <w:t>Modern Slavery</w:t>
      </w:r>
      <w:r>
        <w:rPr>
          <w:sz w:val="22"/>
        </w:rPr>
        <w:t xml:space="preserve"> </w:t>
      </w:r>
    </w:p>
    <w:p w14:paraId="18E52625" w14:textId="6E69DCB4" w:rsidR="007C1112" w:rsidRDefault="00446E73">
      <w:pPr>
        <w:ind w:left="10" w:right="0"/>
      </w:pPr>
      <w:r>
        <w:t xml:space="preserve">The Modern Slavery Act 2015 requires all companies with an annual turnover of £36 million or more to issue a statement each financial year about the steps taken to address modern slavery and human trafficking across their business and supply chains. Suppliers must comply fully with the provisions of the </w:t>
      </w:r>
      <w:proofErr w:type="gramStart"/>
      <w:r>
        <w:t>Act, if</w:t>
      </w:r>
      <w:proofErr w:type="gramEnd"/>
      <w:r>
        <w:t xml:space="preserve"> they apply to you. All suppliers should be prepared to provide </w:t>
      </w:r>
      <w:r w:rsidR="009F10F4">
        <w:t>Incodia</w:t>
      </w:r>
      <w:r>
        <w:t xml:space="preserve"> with information on their actions, including risk assessment, </w:t>
      </w:r>
      <w:proofErr w:type="gramStart"/>
      <w:r>
        <w:t>mitigation</w:t>
      </w:r>
      <w:proofErr w:type="gramEnd"/>
      <w:r>
        <w:t xml:space="preserve"> and training, in order to enable us to prepare our annual Modern Slavery Statement. </w:t>
      </w:r>
    </w:p>
    <w:p w14:paraId="29F517DC" w14:textId="77777777" w:rsidR="007C1112" w:rsidRPr="00B07E0D" w:rsidRDefault="00446E73">
      <w:pPr>
        <w:spacing w:after="0" w:line="259" w:lineRule="auto"/>
        <w:ind w:left="0" w:right="0" w:firstLine="0"/>
        <w:jc w:val="left"/>
        <w:rPr>
          <w:sz w:val="20"/>
          <w:szCs w:val="20"/>
        </w:rPr>
      </w:pPr>
      <w:r>
        <w:t xml:space="preserve"> </w:t>
      </w:r>
    </w:p>
    <w:p w14:paraId="5042946C" w14:textId="21425C0A" w:rsidR="007C1112" w:rsidRDefault="00446E73" w:rsidP="00B07E0D">
      <w:pPr>
        <w:spacing w:after="15" w:line="259" w:lineRule="auto"/>
        <w:ind w:left="0" w:right="0" w:firstLine="0"/>
        <w:jc w:val="left"/>
      </w:pPr>
      <w:r>
        <w:t xml:space="preserve"> </w:t>
      </w:r>
      <w:r w:rsidR="009F10F4">
        <w:t>In support of the</w:t>
      </w:r>
      <w:r>
        <w:t xml:space="preserve"> Consumer Goods Forum, </w:t>
      </w:r>
      <w:r w:rsidR="009F10F4">
        <w:t>Incodia</w:t>
      </w:r>
      <w:r>
        <w:t xml:space="preserve"> has made a commitment to embed the Priority Industry Principles on Forced Labour in its own operations and value chains. These include: </w:t>
      </w:r>
    </w:p>
    <w:p w14:paraId="2544D1CC" w14:textId="77777777" w:rsidR="007C1112" w:rsidRDefault="00446E73">
      <w:pPr>
        <w:numPr>
          <w:ilvl w:val="0"/>
          <w:numId w:val="3"/>
        </w:numPr>
        <w:ind w:right="0" w:hanging="360"/>
      </w:pPr>
      <w:r>
        <w:t xml:space="preserve">Every worker should have freedom of movement </w:t>
      </w:r>
    </w:p>
    <w:p w14:paraId="5C313B6D" w14:textId="77777777" w:rsidR="007C1112" w:rsidRDefault="00446E73">
      <w:pPr>
        <w:numPr>
          <w:ilvl w:val="0"/>
          <w:numId w:val="3"/>
        </w:numPr>
        <w:ind w:right="0" w:hanging="360"/>
      </w:pPr>
      <w:r>
        <w:t xml:space="preserve">No worker should pay for a job </w:t>
      </w:r>
    </w:p>
    <w:p w14:paraId="67C1A6E7" w14:textId="77777777" w:rsidR="007C1112" w:rsidRDefault="00446E73">
      <w:pPr>
        <w:numPr>
          <w:ilvl w:val="0"/>
          <w:numId w:val="3"/>
        </w:numPr>
        <w:ind w:right="0" w:hanging="360"/>
      </w:pPr>
      <w:r>
        <w:t xml:space="preserve">No worker should be indebted or coerced to work </w:t>
      </w:r>
    </w:p>
    <w:p w14:paraId="0B2CD1C0" w14:textId="77777777" w:rsidR="007C1112" w:rsidRPr="00B07E0D" w:rsidRDefault="00446E73">
      <w:pPr>
        <w:spacing w:after="0" w:line="259" w:lineRule="auto"/>
        <w:ind w:left="0" w:right="0" w:firstLine="0"/>
        <w:jc w:val="left"/>
        <w:rPr>
          <w:sz w:val="20"/>
          <w:szCs w:val="20"/>
        </w:rPr>
      </w:pPr>
      <w:r>
        <w:t xml:space="preserve"> </w:t>
      </w:r>
    </w:p>
    <w:p w14:paraId="51776075" w14:textId="77777777" w:rsidR="007C1112" w:rsidRDefault="00446E73">
      <w:pPr>
        <w:ind w:left="10" w:right="0"/>
      </w:pPr>
      <w:r>
        <w:t xml:space="preserve">Although these principles are outlined in the above Code of Conduct, we have specific expectations around recruitment fees as follows: </w:t>
      </w:r>
    </w:p>
    <w:p w14:paraId="6BBC3AB3" w14:textId="77777777" w:rsidR="007C1112" w:rsidRDefault="00446E73">
      <w:pPr>
        <w:numPr>
          <w:ilvl w:val="0"/>
          <w:numId w:val="3"/>
        </w:numPr>
        <w:spacing w:after="13" w:line="243" w:lineRule="auto"/>
        <w:ind w:right="0" w:hanging="360"/>
      </w:pPr>
      <w:r>
        <w:t xml:space="preserve">Suppliers shall seek to ensure that when they recruit directly and/or engage labour recruitment agencies, </w:t>
      </w:r>
      <w:proofErr w:type="gramStart"/>
      <w:r>
        <w:t>recruitment</w:t>
      </w:r>
      <w:proofErr w:type="gramEnd"/>
      <w:r>
        <w:t xml:space="preserve"> and relevant travel fees</w:t>
      </w:r>
      <w:r>
        <w:rPr>
          <w:vertAlign w:val="superscript"/>
        </w:rPr>
        <w:footnoteReference w:id="1"/>
      </w:r>
      <w:r>
        <w:t xml:space="preserve"> are paid by the supplier or agency and will prohibit prospective workers from paying fees associated with the recruitment process. This means you must pay enough to worker/agents to cover cost of recruitment and relevant travel.  </w:t>
      </w:r>
    </w:p>
    <w:p w14:paraId="2F24C8D5" w14:textId="77777777" w:rsidR="007C1112" w:rsidRDefault="00446E73">
      <w:pPr>
        <w:numPr>
          <w:ilvl w:val="0"/>
          <w:numId w:val="3"/>
        </w:numPr>
        <w:spacing w:after="13" w:line="243" w:lineRule="auto"/>
        <w:ind w:right="0" w:hanging="360"/>
      </w:pPr>
      <w:r>
        <w:t xml:space="preserve">We recognise that it takes time to understand the definition of recruitment fees and to implement appropriate responses. We are working with suppliers across our business to understand the extent of recruitment fees in our supply chains and encourage suppliers to make use of the training resources to raise awareness and take preventative actions. </w:t>
      </w:r>
    </w:p>
    <w:p w14:paraId="31396B1F" w14:textId="77777777" w:rsidR="007C1112" w:rsidRDefault="00446E73">
      <w:pPr>
        <w:numPr>
          <w:ilvl w:val="0"/>
          <w:numId w:val="3"/>
        </w:numPr>
        <w:spacing w:after="33"/>
        <w:ind w:right="0" w:hanging="360"/>
      </w:pPr>
      <w:r>
        <w:t xml:space="preserve">For </w:t>
      </w:r>
      <w:proofErr w:type="gramStart"/>
      <w:r>
        <w:t>guidance</w:t>
      </w:r>
      <w:proofErr w:type="gramEnd"/>
      <w:r>
        <w:t xml:space="preserve"> please refer to Training Support section below  </w:t>
      </w:r>
    </w:p>
    <w:p w14:paraId="02CF52A4" w14:textId="77777777" w:rsidR="007C1112" w:rsidRPr="00B07E0D" w:rsidRDefault="00446E73">
      <w:pPr>
        <w:spacing w:after="18" w:line="259" w:lineRule="auto"/>
        <w:ind w:left="0" w:right="0" w:firstLine="0"/>
        <w:jc w:val="left"/>
        <w:rPr>
          <w:sz w:val="20"/>
          <w:szCs w:val="20"/>
        </w:rPr>
      </w:pPr>
      <w:r>
        <w:rPr>
          <w:b/>
          <w:sz w:val="24"/>
        </w:rPr>
        <w:t xml:space="preserve"> </w:t>
      </w:r>
    </w:p>
    <w:p w14:paraId="66A210E7" w14:textId="77777777" w:rsidR="007C1112" w:rsidRDefault="00446E73">
      <w:pPr>
        <w:pStyle w:val="Heading2"/>
        <w:spacing w:after="80"/>
        <w:ind w:left="-5" w:right="96"/>
      </w:pPr>
      <w:r>
        <w:t xml:space="preserve">Environmental Criteria  </w:t>
      </w:r>
    </w:p>
    <w:p w14:paraId="726F5804" w14:textId="77777777" w:rsidR="007C1112" w:rsidRDefault="00446E73" w:rsidP="00B07E0D">
      <w:pPr>
        <w:pStyle w:val="Heading3"/>
        <w:spacing w:after="46"/>
        <w:ind w:left="0" w:right="0" w:firstLine="0"/>
        <w:jc w:val="left"/>
      </w:pPr>
      <w:r>
        <w:rPr>
          <w:sz w:val="24"/>
        </w:rPr>
        <w:t xml:space="preserve">1. Protection of the Environment </w:t>
      </w:r>
    </w:p>
    <w:p w14:paraId="34908A17" w14:textId="77CB1A76" w:rsidR="007C1112" w:rsidRDefault="00446E73" w:rsidP="00B07E0D">
      <w:pPr>
        <w:spacing w:after="12" w:line="269" w:lineRule="auto"/>
        <w:ind w:left="709" w:right="0" w:firstLine="0"/>
        <w:jc w:val="left"/>
      </w:pPr>
      <w:r>
        <w:rPr>
          <w:sz w:val="24"/>
        </w:rPr>
        <w:t xml:space="preserve">12.1 Suppliers shall carry out their activities in accordance with national laws, regulations, administrative </w:t>
      </w:r>
      <w:proofErr w:type="gramStart"/>
      <w:r>
        <w:rPr>
          <w:sz w:val="24"/>
        </w:rPr>
        <w:t>practices</w:t>
      </w:r>
      <w:proofErr w:type="gramEnd"/>
      <w:r>
        <w:rPr>
          <w:sz w:val="24"/>
        </w:rPr>
        <w:t xml:space="preserve"> and policies relating to the preservation of the environment of the countries in which they operate as well as in accordance with relevant international agreements, principles, objectives, responsibilities and standards with regard to the environment. </w:t>
      </w:r>
    </w:p>
    <w:p w14:paraId="280E58EB" w14:textId="77777777" w:rsidR="007C1112" w:rsidRDefault="00446E73" w:rsidP="00B07E0D">
      <w:pPr>
        <w:spacing w:after="68" w:line="269" w:lineRule="auto"/>
        <w:ind w:left="709" w:right="0" w:firstLine="0"/>
        <w:jc w:val="left"/>
      </w:pPr>
      <w:r>
        <w:rPr>
          <w:sz w:val="24"/>
        </w:rPr>
        <w:t xml:space="preserve">12.2 The supplier must identify significant environmental hotspots and conduct impact assessments in the following areas </w:t>
      </w:r>
    </w:p>
    <w:p w14:paraId="4975EA90" w14:textId="0A45C6F7" w:rsidR="007C1112" w:rsidRDefault="00446E73" w:rsidP="00B07E0D">
      <w:pPr>
        <w:numPr>
          <w:ilvl w:val="0"/>
          <w:numId w:val="4"/>
        </w:numPr>
        <w:spacing w:after="83"/>
        <w:ind w:left="1418" w:right="0" w:hanging="284"/>
      </w:pPr>
      <w:r>
        <w:t xml:space="preserve">Material use (where produced for and supplied to </w:t>
      </w:r>
      <w:r w:rsidR="009F10F4">
        <w:t>Incodia</w:t>
      </w:r>
      <w:r>
        <w:t xml:space="preserve">) </w:t>
      </w:r>
    </w:p>
    <w:p w14:paraId="4BB4832F" w14:textId="77777777" w:rsidR="007C1112" w:rsidRDefault="00446E73" w:rsidP="00B07E0D">
      <w:pPr>
        <w:numPr>
          <w:ilvl w:val="0"/>
          <w:numId w:val="4"/>
        </w:numPr>
        <w:spacing w:after="83"/>
        <w:ind w:left="1418" w:right="0" w:hanging="284"/>
      </w:pPr>
      <w:r>
        <w:t xml:space="preserve">Use of chemicals </w:t>
      </w:r>
    </w:p>
    <w:p w14:paraId="671978FD" w14:textId="77777777" w:rsidR="007C1112" w:rsidRDefault="00446E73" w:rsidP="00B07E0D">
      <w:pPr>
        <w:numPr>
          <w:ilvl w:val="0"/>
          <w:numId w:val="4"/>
        </w:numPr>
        <w:spacing w:after="74" w:line="259" w:lineRule="auto"/>
        <w:ind w:left="1418" w:right="0" w:hanging="284"/>
      </w:pPr>
      <w:r>
        <w:t xml:space="preserve">Energy Management and GHG emissions </w:t>
      </w:r>
    </w:p>
    <w:p w14:paraId="574376B9" w14:textId="77777777" w:rsidR="007C1112" w:rsidRDefault="00446E73" w:rsidP="00B07E0D">
      <w:pPr>
        <w:numPr>
          <w:ilvl w:val="0"/>
          <w:numId w:val="4"/>
        </w:numPr>
        <w:spacing w:after="60"/>
        <w:ind w:left="1418" w:right="0" w:hanging="284"/>
      </w:pPr>
      <w:r>
        <w:t xml:space="preserve">Water management </w:t>
      </w:r>
    </w:p>
    <w:p w14:paraId="5BB93F43" w14:textId="78BAE960" w:rsidR="007C1112" w:rsidRDefault="00446E73" w:rsidP="00B07E0D">
      <w:pPr>
        <w:numPr>
          <w:ilvl w:val="0"/>
          <w:numId w:val="4"/>
        </w:numPr>
        <w:spacing w:after="83"/>
        <w:ind w:left="1418" w:right="0" w:hanging="284"/>
      </w:pPr>
      <w:r>
        <w:t xml:space="preserve">Biodiversity </w:t>
      </w:r>
    </w:p>
    <w:p w14:paraId="311B2082" w14:textId="77777777" w:rsidR="00B07E0D" w:rsidRDefault="00446E73" w:rsidP="00B07E0D">
      <w:pPr>
        <w:numPr>
          <w:ilvl w:val="0"/>
          <w:numId w:val="4"/>
        </w:numPr>
        <w:spacing w:after="79"/>
        <w:ind w:left="1418" w:right="0" w:hanging="284"/>
      </w:pPr>
      <w:r>
        <w:t xml:space="preserve">Waste prevention and disposal </w:t>
      </w:r>
    </w:p>
    <w:p w14:paraId="226B534A" w14:textId="074304C8" w:rsidR="007C1112" w:rsidRDefault="00446E73" w:rsidP="00B07E0D">
      <w:pPr>
        <w:numPr>
          <w:ilvl w:val="0"/>
          <w:numId w:val="4"/>
        </w:numPr>
        <w:spacing w:after="79"/>
        <w:ind w:left="1418" w:right="0" w:hanging="284"/>
      </w:pPr>
      <w:r>
        <w:t xml:space="preserve">Air emission </w:t>
      </w:r>
    </w:p>
    <w:p w14:paraId="0A66FC27" w14:textId="77777777" w:rsidR="007C1112" w:rsidRDefault="00446E73" w:rsidP="00B07E0D">
      <w:pPr>
        <w:spacing w:after="42" w:line="259" w:lineRule="auto"/>
        <w:ind w:left="0" w:right="0" w:firstLine="0"/>
        <w:jc w:val="left"/>
      </w:pPr>
      <w:r>
        <w:rPr>
          <w:sz w:val="24"/>
        </w:rPr>
        <w:lastRenderedPageBreak/>
        <w:t xml:space="preserve"> </w:t>
      </w:r>
    </w:p>
    <w:p w14:paraId="2BE41579" w14:textId="13C3D462" w:rsidR="007C1112" w:rsidRPr="00B07E0D" w:rsidRDefault="00446E73" w:rsidP="00B07E0D">
      <w:pPr>
        <w:numPr>
          <w:ilvl w:val="1"/>
          <w:numId w:val="5"/>
        </w:numPr>
        <w:spacing w:after="12" w:line="269" w:lineRule="auto"/>
        <w:ind w:left="0" w:right="0" w:firstLine="0"/>
        <w:jc w:val="left"/>
      </w:pPr>
      <w:r>
        <w:rPr>
          <w:sz w:val="24"/>
        </w:rPr>
        <w:t xml:space="preserve">The supplier shall have environmental improvement plan with objectives and targets documented. </w:t>
      </w:r>
    </w:p>
    <w:p w14:paraId="5AB77C81" w14:textId="77777777" w:rsidR="00B07E0D" w:rsidRDefault="00B07E0D" w:rsidP="00B07E0D">
      <w:pPr>
        <w:spacing w:after="12" w:line="269" w:lineRule="auto"/>
        <w:ind w:left="0" w:right="0" w:firstLine="0"/>
        <w:jc w:val="left"/>
      </w:pPr>
    </w:p>
    <w:p w14:paraId="68188A5D" w14:textId="4C3056F3" w:rsidR="007C1112" w:rsidRPr="00B07E0D" w:rsidRDefault="00446E73" w:rsidP="00B07E0D">
      <w:pPr>
        <w:numPr>
          <w:ilvl w:val="1"/>
          <w:numId w:val="5"/>
        </w:numPr>
        <w:spacing w:after="12" w:line="269" w:lineRule="auto"/>
        <w:ind w:left="0" w:right="0" w:firstLine="0"/>
        <w:jc w:val="left"/>
      </w:pPr>
      <w:r>
        <w:rPr>
          <w:sz w:val="24"/>
        </w:rPr>
        <w:t xml:space="preserve">The supplier must be able to demonstrate environmentally sound manufacturing practices and measure emissions for water, </w:t>
      </w:r>
      <w:proofErr w:type="gramStart"/>
      <w:r>
        <w:rPr>
          <w:sz w:val="24"/>
        </w:rPr>
        <w:t>air</w:t>
      </w:r>
      <w:proofErr w:type="gramEnd"/>
      <w:r>
        <w:rPr>
          <w:sz w:val="24"/>
        </w:rPr>
        <w:t xml:space="preserve"> and land. </w:t>
      </w:r>
    </w:p>
    <w:p w14:paraId="790778FB" w14:textId="77777777" w:rsidR="00B07E0D" w:rsidRDefault="00B07E0D" w:rsidP="00B07E0D">
      <w:pPr>
        <w:pStyle w:val="ListParagraph"/>
      </w:pPr>
    </w:p>
    <w:p w14:paraId="75848C4E" w14:textId="77777777" w:rsidR="00B07E0D" w:rsidRDefault="00B07E0D" w:rsidP="00B07E0D">
      <w:pPr>
        <w:spacing w:after="12" w:line="269" w:lineRule="auto"/>
        <w:ind w:left="0" w:right="0" w:firstLine="0"/>
        <w:jc w:val="left"/>
      </w:pPr>
    </w:p>
    <w:p w14:paraId="1080EF99" w14:textId="2EB91DB6" w:rsidR="007C1112" w:rsidRPr="00B07E0D" w:rsidRDefault="00446E73" w:rsidP="00B07E0D">
      <w:pPr>
        <w:numPr>
          <w:ilvl w:val="1"/>
          <w:numId w:val="5"/>
        </w:numPr>
        <w:spacing w:after="12" w:line="269" w:lineRule="auto"/>
        <w:ind w:left="0" w:right="0" w:firstLine="0"/>
        <w:jc w:val="left"/>
      </w:pPr>
      <w:r>
        <w:rPr>
          <w:sz w:val="24"/>
        </w:rPr>
        <w:t xml:space="preserve">The supplier must be able to demonstrate that environmental considerations are </w:t>
      </w:r>
      <w:proofErr w:type="gramStart"/>
      <w:r>
        <w:rPr>
          <w:sz w:val="24"/>
        </w:rPr>
        <w:t>taken into account</w:t>
      </w:r>
      <w:proofErr w:type="gramEnd"/>
      <w:r>
        <w:rPr>
          <w:sz w:val="24"/>
        </w:rPr>
        <w:t xml:space="preserve"> in the design of product or services, by considering energy consumption, material use and end of life disposal. </w:t>
      </w:r>
    </w:p>
    <w:p w14:paraId="0EB59195" w14:textId="77777777" w:rsidR="00B07E0D" w:rsidRDefault="00B07E0D" w:rsidP="00B07E0D">
      <w:pPr>
        <w:spacing w:after="12" w:line="269" w:lineRule="auto"/>
        <w:ind w:left="0" w:right="0" w:firstLine="0"/>
        <w:jc w:val="left"/>
      </w:pPr>
    </w:p>
    <w:p w14:paraId="722D0859" w14:textId="77777777" w:rsidR="00B07E0D" w:rsidRPr="00B07E0D" w:rsidRDefault="00446E73" w:rsidP="00B07E0D">
      <w:pPr>
        <w:numPr>
          <w:ilvl w:val="1"/>
          <w:numId w:val="5"/>
        </w:numPr>
        <w:spacing w:after="66" w:line="269" w:lineRule="auto"/>
        <w:ind w:left="0" w:right="0" w:firstLine="0"/>
        <w:jc w:val="left"/>
      </w:pPr>
      <w:r>
        <w:rPr>
          <w:sz w:val="24"/>
        </w:rPr>
        <w:t xml:space="preserve">The supplier must ensure its employees, subcontractors and suppliers comply with </w:t>
      </w:r>
      <w:r w:rsidR="009F10F4">
        <w:rPr>
          <w:sz w:val="24"/>
        </w:rPr>
        <w:t>Incodia’s</w:t>
      </w:r>
      <w:r>
        <w:rPr>
          <w:sz w:val="24"/>
        </w:rPr>
        <w:t xml:space="preserve"> environmental requirements and all applicable legal requirements. </w:t>
      </w:r>
    </w:p>
    <w:p w14:paraId="44A6311F" w14:textId="77777777" w:rsidR="00B07E0D" w:rsidRDefault="00B07E0D" w:rsidP="00B07E0D">
      <w:pPr>
        <w:pStyle w:val="ListParagraph"/>
        <w:rPr>
          <w:sz w:val="24"/>
        </w:rPr>
      </w:pPr>
    </w:p>
    <w:p w14:paraId="3D7483F1" w14:textId="669EB906" w:rsidR="007C1112" w:rsidRDefault="00446E73" w:rsidP="00B07E0D">
      <w:pPr>
        <w:spacing w:after="66" w:line="269" w:lineRule="auto"/>
        <w:ind w:left="0" w:right="0" w:firstLine="0"/>
        <w:jc w:val="left"/>
      </w:pPr>
      <w:r>
        <w:rPr>
          <w:sz w:val="24"/>
        </w:rPr>
        <w:t xml:space="preserve"> </w:t>
      </w:r>
    </w:p>
    <w:p w14:paraId="39F699B4" w14:textId="03313EF6" w:rsidR="007C1112" w:rsidRDefault="00446E73" w:rsidP="00B07E0D">
      <w:pPr>
        <w:numPr>
          <w:ilvl w:val="1"/>
          <w:numId w:val="5"/>
        </w:numPr>
        <w:spacing w:after="44" w:line="269" w:lineRule="auto"/>
        <w:ind w:left="0" w:right="0" w:firstLine="0"/>
        <w:jc w:val="left"/>
      </w:pPr>
      <w:r>
        <w:rPr>
          <w:sz w:val="24"/>
        </w:rPr>
        <w:t xml:space="preserve">The supplier must inform </w:t>
      </w:r>
      <w:r w:rsidR="006B1B4F">
        <w:rPr>
          <w:sz w:val="24"/>
        </w:rPr>
        <w:t>Incodia</w:t>
      </w:r>
      <w:r>
        <w:rPr>
          <w:sz w:val="24"/>
        </w:rPr>
        <w:t xml:space="preserve"> if a significant environmental incident occurs at supplier’s premises and/or </w:t>
      </w:r>
      <w:proofErr w:type="gramStart"/>
      <w:r>
        <w:rPr>
          <w:sz w:val="24"/>
        </w:rPr>
        <w:t>as a result of</w:t>
      </w:r>
      <w:proofErr w:type="gramEnd"/>
      <w:r>
        <w:rPr>
          <w:sz w:val="24"/>
        </w:rPr>
        <w:t xml:space="preserve"> supplier’s activities. </w:t>
      </w:r>
    </w:p>
    <w:p w14:paraId="44737079" w14:textId="77777777" w:rsidR="007C1112" w:rsidRDefault="007C1112">
      <w:pPr>
        <w:sectPr w:rsidR="007C1112">
          <w:headerReference w:type="even" r:id="rId8"/>
          <w:footerReference w:type="even" r:id="rId9"/>
          <w:footerReference w:type="default" r:id="rId10"/>
          <w:headerReference w:type="first" r:id="rId11"/>
          <w:footerReference w:type="first" r:id="rId12"/>
          <w:footnotePr>
            <w:numRestart w:val="eachPage"/>
          </w:footnotePr>
          <w:pgSz w:w="11908" w:h="16836"/>
          <w:pgMar w:top="972" w:right="420" w:bottom="1635" w:left="1137" w:header="435" w:footer="197" w:gutter="0"/>
          <w:cols w:space="720"/>
        </w:sectPr>
      </w:pPr>
    </w:p>
    <w:tbl>
      <w:tblPr>
        <w:tblStyle w:val="GridTable4-Accent1"/>
        <w:tblpPr w:leftFromText="180" w:rightFromText="180" w:vertAnchor="text" w:horzAnchor="margin" w:tblpY="-115"/>
        <w:tblW w:w="5000" w:type="pct"/>
        <w:tblLook w:val="04A0" w:firstRow="1" w:lastRow="0" w:firstColumn="1" w:lastColumn="0" w:noHBand="0" w:noVBand="1"/>
      </w:tblPr>
      <w:tblGrid>
        <w:gridCol w:w="6618"/>
        <w:gridCol w:w="1292"/>
        <w:gridCol w:w="1579"/>
      </w:tblGrid>
      <w:tr w:rsidR="00446E73" w14:paraId="31A9C275" w14:textId="77777777" w:rsidTr="00446E73">
        <w:trPr>
          <w:cnfStyle w:val="100000000000" w:firstRow="1" w:lastRow="0" w:firstColumn="0" w:lastColumn="0" w:oddVBand="0" w:evenVBand="0" w:oddHBand="0" w:evenHBand="0" w:firstRowFirstColumn="0" w:firstRowLastColumn="0" w:lastRowFirstColumn="0" w:lastRowLastColumn="0"/>
          <w:trHeight w:val="2760"/>
        </w:trPr>
        <w:tc>
          <w:tcPr>
            <w:cnfStyle w:val="001000000000" w:firstRow="0" w:lastRow="0" w:firstColumn="1" w:lastColumn="0" w:oddVBand="0" w:evenVBand="0" w:oddHBand="0" w:evenHBand="0" w:firstRowFirstColumn="0" w:firstRowLastColumn="0" w:lastRowFirstColumn="0" w:lastRowLastColumn="0"/>
            <w:tcW w:w="3487" w:type="pct"/>
          </w:tcPr>
          <w:p w14:paraId="5938C555" w14:textId="77777777" w:rsidR="00446E73" w:rsidRDefault="00446E73" w:rsidP="00446E73">
            <w:pPr>
              <w:spacing w:after="4" w:line="259" w:lineRule="auto"/>
              <w:ind w:left="0" w:right="0" w:firstLine="0"/>
              <w:jc w:val="left"/>
            </w:pPr>
            <w:r>
              <w:rPr>
                <w:color w:val="FFFFFF"/>
                <w:sz w:val="28"/>
              </w:rPr>
              <w:lastRenderedPageBreak/>
              <w:t xml:space="preserve">Supplier Requirements and Rating Definitions </w:t>
            </w:r>
          </w:p>
          <w:p w14:paraId="71F73EA5" w14:textId="77777777" w:rsidR="00446E73" w:rsidRDefault="00446E73" w:rsidP="00446E73">
            <w:pPr>
              <w:spacing w:after="0" w:line="259" w:lineRule="auto"/>
              <w:ind w:left="0" w:right="0" w:firstLine="0"/>
              <w:jc w:val="left"/>
            </w:pPr>
            <w:r>
              <w:rPr>
                <w:color w:val="FFFFFF"/>
              </w:rPr>
              <w:t>These requirements must be reviewed annually by suppliers.</w:t>
            </w:r>
            <w:r>
              <w:rPr>
                <w:color w:val="00B050"/>
              </w:rPr>
              <w:t xml:space="preserve"> </w:t>
            </w:r>
          </w:p>
          <w:p w14:paraId="352B27F1" w14:textId="77777777" w:rsidR="00446E73" w:rsidRDefault="00446E73" w:rsidP="00446E73">
            <w:pPr>
              <w:spacing w:after="7" w:line="259" w:lineRule="auto"/>
              <w:ind w:left="0" w:right="0" w:firstLine="0"/>
              <w:jc w:val="left"/>
            </w:pPr>
            <w:r>
              <w:rPr>
                <w:color w:val="00B050"/>
              </w:rPr>
              <w:t>Compliant to Policy</w:t>
            </w:r>
            <w:r>
              <w:rPr>
                <w:color w:val="FFFFFF"/>
              </w:rPr>
              <w:t xml:space="preserve"> – all areas achieved </w:t>
            </w:r>
          </w:p>
          <w:p w14:paraId="53A826E2" w14:textId="77777777" w:rsidR="00446E73" w:rsidRDefault="00446E73" w:rsidP="00446E73">
            <w:pPr>
              <w:spacing w:after="0" w:line="257" w:lineRule="auto"/>
              <w:ind w:left="0" w:right="0" w:firstLine="0"/>
              <w:jc w:val="left"/>
            </w:pPr>
            <w:r>
              <w:rPr>
                <w:color w:val="FFFF00"/>
              </w:rPr>
              <w:t xml:space="preserve">Minor non-conformance (NC) </w:t>
            </w:r>
            <w:r>
              <w:rPr>
                <w:color w:val="FFFFFF"/>
              </w:rPr>
              <w:t xml:space="preserve">- Absolute compliance to </w:t>
            </w:r>
            <w:r>
              <w:rPr>
                <w:b w:val="0"/>
                <w:color w:val="FFFFFF"/>
              </w:rPr>
              <w:t>Incodia’s</w:t>
            </w:r>
            <w:r>
              <w:rPr>
                <w:color w:val="FFFFFF"/>
              </w:rPr>
              <w:t xml:space="preserve"> requirements has not been met, but on objective evidence, the conformity of the product is not in doubt and no safety, quality, legal or ethical risk is presented to </w:t>
            </w:r>
            <w:r>
              <w:rPr>
                <w:b w:val="0"/>
                <w:color w:val="FFFFFF"/>
              </w:rPr>
              <w:t>Incodia’</w:t>
            </w:r>
            <w:r>
              <w:rPr>
                <w:color w:val="FFFFFF"/>
              </w:rPr>
              <w:t xml:space="preserve">s brand or customers. </w:t>
            </w:r>
          </w:p>
          <w:p w14:paraId="74E8A03D" w14:textId="77777777" w:rsidR="00446E73" w:rsidRDefault="00446E73" w:rsidP="00446E73">
            <w:pPr>
              <w:spacing w:after="0" w:line="243" w:lineRule="auto"/>
              <w:ind w:left="0" w:right="0" w:firstLine="0"/>
            </w:pPr>
            <w:r>
              <w:rPr>
                <w:color w:val="FF0000"/>
              </w:rPr>
              <w:t>Major NC</w:t>
            </w:r>
            <w:r>
              <w:rPr>
                <w:color w:val="FFFFFF"/>
              </w:rPr>
              <w:t xml:space="preserve"> - A substantial failure which requires prompt attention to prevent a safety, legality, </w:t>
            </w:r>
            <w:proofErr w:type="gramStart"/>
            <w:r>
              <w:rPr>
                <w:color w:val="FFFFFF"/>
              </w:rPr>
              <w:t>quality</w:t>
            </w:r>
            <w:proofErr w:type="gramEnd"/>
            <w:r>
              <w:rPr>
                <w:color w:val="FFFFFF"/>
              </w:rPr>
              <w:t xml:space="preserve"> or ethical issue from arising and / or raises doubt as to the conformity of product. </w:t>
            </w:r>
          </w:p>
          <w:p w14:paraId="1B5832D5" w14:textId="77777777" w:rsidR="00446E73" w:rsidRDefault="00446E73" w:rsidP="00446E73">
            <w:pPr>
              <w:spacing w:after="0" w:line="259" w:lineRule="auto"/>
              <w:ind w:left="0" w:right="0" w:firstLine="0"/>
            </w:pPr>
            <w:r>
              <w:rPr>
                <w:color w:val="FF0000"/>
              </w:rPr>
              <w:t>Critical NC</w:t>
            </w:r>
            <w:r>
              <w:rPr>
                <w:color w:val="FFFFFF"/>
              </w:rPr>
              <w:t xml:space="preserve"> - Critical failure to comply with a safety, quality, legal or ethical requirement that puts either </w:t>
            </w:r>
            <w:r>
              <w:rPr>
                <w:b w:val="0"/>
                <w:color w:val="FFFFFF"/>
              </w:rPr>
              <w:t>Incodia</w:t>
            </w:r>
            <w:r>
              <w:rPr>
                <w:color w:val="FFFFFF"/>
              </w:rPr>
              <w:t xml:space="preserve">’s product, </w:t>
            </w:r>
            <w:r>
              <w:rPr>
                <w:b w:val="0"/>
                <w:color w:val="FFFFFF"/>
              </w:rPr>
              <w:t>Incodia</w:t>
            </w:r>
            <w:r>
              <w:rPr>
                <w:color w:val="FFFFFF"/>
              </w:rPr>
              <w:t xml:space="preserve">’s brand or a </w:t>
            </w:r>
            <w:r>
              <w:rPr>
                <w:b w:val="0"/>
                <w:color w:val="FFFFFF"/>
              </w:rPr>
              <w:t>Incodia</w:t>
            </w:r>
            <w:r>
              <w:rPr>
                <w:color w:val="FFFFFF"/>
              </w:rPr>
              <w:t xml:space="preserve"> customer at risk.</w:t>
            </w:r>
            <w:r>
              <w:t xml:space="preserve"> </w:t>
            </w:r>
          </w:p>
        </w:tc>
        <w:tc>
          <w:tcPr>
            <w:tcW w:w="681" w:type="pct"/>
          </w:tcPr>
          <w:p w14:paraId="21A2D3CC" w14:textId="77777777" w:rsidR="00446E73" w:rsidRDefault="00446E73" w:rsidP="00446E73">
            <w:pPr>
              <w:spacing w:after="0" w:line="259" w:lineRule="auto"/>
              <w:ind w:left="0" w:right="0" w:firstLine="0"/>
              <w:jc w:val="center"/>
              <w:cnfStyle w:val="100000000000" w:firstRow="1" w:lastRow="0" w:firstColumn="0" w:lastColumn="0" w:oddVBand="0" w:evenVBand="0" w:oddHBand="0" w:evenHBand="0" w:firstRowFirstColumn="0" w:firstRowLastColumn="0" w:lastRowFirstColumn="0" w:lastRowLastColumn="0"/>
            </w:pPr>
            <w:r>
              <w:rPr>
                <w:color w:val="FFFFFF"/>
              </w:rPr>
              <w:t>For further guidance see Appendix:</w:t>
            </w:r>
            <w:r>
              <w:rPr>
                <w:color w:val="FFFFFF"/>
                <w:sz w:val="28"/>
              </w:rPr>
              <w:t xml:space="preserve"> </w:t>
            </w:r>
          </w:p>
        </w:tc>
        <w:tc>
          <w:tcPr>
            <w:tcW w:w="832" w:type="pct"/>
          </w:tcPr>
          <w:p w14:paraId="7EA3F858" w14:textId="77777777" w:rsidR="00446E73" w:rsidRDefault="00446E73" w:rsidP="00446E73">
            <w:pPr>
              <w:spacing w:after="0" w:line="276" w:lineRule="auto"/>
              <w:ind w:left="0" w:right="42" w:firstLine="0"/>
              <w:jc w:val="left"/>
              <w:cnfStyle w:val="100000000000" w:firstRow="1" w:lastRow="0" w:firstColumn="0" w:lastColumn="0" w:oddVBand="0" w:evenVBand="0" w:oddHBand="0" w:evenHBand="0" w:firstRowFirstColumn="0" w:firstRowLastColumn="0" w:lastRowFirstColumn="0" w:lastRowLastColumn="0"/>
            </w:pPr>
            <w:r>
              <w:rPr>
                <w:color w:val="FFFFFF"/>
              </w:rPr>
              <w:t xml:space="preserve">Rating based on the evidence gathered to demonstrate compliance </w:t>
            </w:r>
          </w:p>
          <w:p w14:paraId="737B53DB" w14:textId="77777777" w:rsidR="00446E73" w:rsidRDefault="00446E73" w:rsidP="00446E73">
            <w:pPr>
              <w:spacing w:after="13" w:line="259" w:lineRule="auto"/>
              <w:ind w:left="0" w:right="0" w:firstLine="0"/>
              <w:jc w:val="left"/>
              <w:cnfStyle w:val="100000000000" w:firstRow="1" w:lastRow="0" w:firstColumn="0" w:lastColumn="0" w:oddVBand="0" w:evenVBand="0" w:oddHBand="0" w:evenHBand="0" w:firstRowFirstColumn="0" w:firstRowLastColumn="0" w:lastRowFirstColumn="0" w:lastRowLastColumn="0"/>
            </w:pPr>
            <w:r>
              <w:rPr>
                <w:color w:val="FF0000"/>
                <w:sz w:val="16"/>
              </w:rPr>
              <w:t>Critical Non-</w:t>
            </w:r>
          </w:p>
          <w:p w14:paraId="5D4CFD8E" w14:textId="77777777" w:rsidR="00446E73" w:rsidRDefault="00446E73" w:rsidP="00446E73">
            <w:pPr>
              <w:spacing w:after="13" w:line="259" w:lineRule="auto"/>
              <w:ind w:left="0" w:right="0" w:firstLine="0"/>
              <w:jc w:val="left"/>
              <w:cnfStyle w:val="100000000000" w:firstRow="1" w:lastRow="0" w:firstColumn="0" w:lastColumn="0" w:oddVBand="0" w:evenVBand="0" w:oddHBand="0" w:evenHBand="0" w:firstRowFirstColumn="0" w:firstRowLastColumn="0" w:lastRowFirstColumn="0" w:lastRowLastColumn="0"/>
            </w:pPr>
            <w:r>
              <w:rPr>
                <w:color w:val="FF0000"/>
                <w:sz w:val="16"/>
              </w:rPr>
              <w:t>Conformance (NC)</w:t>
            </w:r>
            <w:r>
              <w:rPr>
                <w:color w:val="FFFFFF"/>
                <w:sz w:val="16"/>
              </w:rPr>
              <w:t xml:space="preserve"> </w:t>
            </w:r>
          </w:p>
          <w:p w14:paraId="6DA81A4F" w14:textId="77777777" w:rsidR="00446E73" w:rsidRDefault="00446E73" w:rsidP="00446E73">
            <w:pPr>
              <w:spacing w:after="0" w:line="259" w:lineRule="auto"/>
              <w:ind w:left="0" w:right="0" w:firstLine="0"/>
              <w:jc w:val="left"/>
              <w:cnfStyle w:val="100000000000" w:firstRow="1" w:lastRow="0" w:firstColumn="0" w:lastColumn="0" w:oddVBand="0" w:evenVBand="0" w:oddHBand="0" w:evenHBand="0" w:firstRowFirstColumn="0" w:firstRowLastColumn="0" w:lastRowFirstColumn="0" w:lastRowLastColumn="0"/>
            </w:pPr>
            <w:r>
              <w:rPr>
                <w:color w:val="FF0000"/>
                <w:sz w:val="16"/>
              </w:rPr>
              <w:t>Major NC</w:t>
            </w:r>
            <w:r>
              <w:rPr>
                <w:color w:val="FFFFFF"/>
                <w:sz w:val="16"/>
              </w:rPr>
              <w:t xml:space="preserve"> </w:t>
            </w:r>
          </w:p>
          <w:p w14:paraId="65062DDA" w14:textId="77777777" w:rsidR="00446E73" w:rsidRDefault="00446E73" w:rsidP="00446E73">
            <w:pPr>
              <w:spacing w:after="37" w:line="259" w:lineRule="auto"/>
              <w:ind w:left="0" w:right="0" w:firstLine="0"/>
              <w:jc w:val="left"/>
              <w:cnfStyle w:val="100000000000" w:firstRow="1" w:lastRow="0" w:firstColumn="0" w:lastColumn="0" w:oddVBand="0" w:evenVBand="0" w:oddHBand="0" w:evenHBand="0" w:firstRowFirstColumn="0" w:firstRowLastColumn="0" w:lastRowFirstColumn="0" w:lastRowLastColumn="0"/>
            </w:pPr>
            <w:r>
              <w:rPr>
                <w:color w:val="FFFF00"/>
                <w:sz w:val="16"/>
              </w:rPr>
              <w:t xml:space="preserve">Minor NC </w:t>
            </w:r>
          </w:p>
          <w:p w14:paraId="3919E66D" w14:textId="77777777" w:rsidR="00446E73" w:rsidRDefault="00446E73" w:rsidP="00446E73">
            <w:pPr>
              <w:spacing w:after="0" w:line="259" w:lineRule="auto"/>
              <w:ind w:left="0" w:right="0" w:firstLine="0"/>
              <w:jc w:val="left"/>
              <w:cnfStyle w:val="100000000000" w:firstRow="1" w:lastRow="0" w:firstColumn="0" w:lastColumn="0" w:oddVBand="0" w:evenVBand="0" w:oddHBand="0" w:evenHBand="0" w:firstRowFirstColumn="0" w:firstRowLastColumn="0" w:lastRowFirstColumn="0" w:lastRowLastColumn="0"/>
            </w:pPr>
            <w:r>
              <w:rPr>
                <w:color w:val="00B050"/>
                <w:sz w:val="16"/>
              </w:rPr>
              <w:t>Compliant to Policy</w:t>
            </w:r>
            <w:r>
              <w:rPr>
                <w:color w:val="FFFFFF"/>
              </w:rPr>
              <w:t xml:space="preserve"> </w:t>
            </w:r>
          </w:p>
        </w:tc>
      </w:tr>
      <w:tr w:rsidR="00446E73" w14:paraId="193864DC" w14:textId="77777777" w:rsidTr="00446E73">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3487" w:type="pct"/>
          </w:tcPr>
          <w:p w14:paraId="5895DAB1" w14:textId="77777777" w:rsidR="00446E73" w:rsidRDefault="00446E73" w:rsidP="00446E73">
            <w:pPr>
              <w:spacing w:after="0" w:line="259" w:lineRule="auto"/>
              <w:ind w:left="360" w:right="0" w:firstLine="0"/>
              <w:jc w:val="left"/>
            </w:pPr>
            <w:r>
              <w:t xml:space="preserve">a. Communicate ETI Base Code to all workers.  </w:t>
            </w:r>
          </w:p>
        </w:tc>
        <w:tc>
          <w:tcPr>
            <w:tcW w:w="681" w:type="pct"/>
          </w:tcPr>
          <w:p w14:paraId="07F3B07D" w14:textId="77777777" w:rsidR="00446E73" w:rsidRDefault="00446E73" w:rsidP="00446E73">
            <w:pPr>
              <w:spacing w:after="0" w:line="259" w:lineRule="auto"/>
              <w:ind w:left="36" w:right="0" w:firstLine="0"/>
              <w:jc w:val="center"/>
              <w:cnfStyle w:val="000000100000" w:firstRow="0" w:lastRow="0" w:firstColumn="0" w:lastColumn="0" w:oddVBand="0" w:evenVBand="0" w:oddHBand="1" w:evenHBand="0" w:firstRowFirstColumn="0" w:firstRowLastColumn="0" w:lastRowFirstColumn="0" w:lastRowLastColumn="0"/>
            </w:pPr>
            <w:r>
              <w:rPr>
                <w:sz w:val="32"/>
              </w:rPr>
              <w:t xml:space="preserve"> </w:t>
            </w:r>
          </w:p>
        </w:tc>
        <w:tc>
          <w:tcPr>
            <w:tcW w:w="832" w:type="pct"/>
          </w:tcPr>
          <w:p w14:paraId="2AC66C60" w14:textId="77777777" w:rsidR="00446E73" w:rsidRDefault="00446E73" w:rsidP="00446E73">
            <w:pPr>
              <w:spacing w:after="0" w:line="259" w:lineRule="auto"/>
              <w:ind w:left="11" w:right="0" w:firstLine="0"/>
              <w:jc w:val="center"/>
              <w:cnfStyle w:val="000000100000" w:firstRow="0" w:lastRow="0" w:firstColumn="0" w:lastColumn="0" w:oddVBand="0" w:evenVBand="0" w:oddHBand="1" w:evenHBand="0" w:firstRowFirstColumn="0" w:firstRowLastColumn="0" w:lastRowFirstColumn="0" w:lastRowLastColumn="0"/>
            </w:pPr>
            <w:r>
              <w:rPr>
                <w:sz w:val="24"/>
              </w:rPr>
              <w:t xml:space="preserve"> </w:t>
            </w:r>
          </w:p>
        </w:tc>
      </w:tr>
      <w:tr w:rsidR="00446E73" w14:paraId="27039930" w14:textId="77777777" w:rsidTr="00446E73">
        <w:trPr>
          <w:trHeight w:val="1071"/>
        </w:trPr>
        <w:tc>
          <w:tcPr>
            <w:cnfStyle w:val="001000000000" w:firstRow="0" w:lastRow="0" w:firstColumn="1" w:lastColumn="0" w:oddVBand="0" w:evenVBand="0" w:oddHBand="0" w:evenHBand="0" w:firstRowFirstColumn="0" w:firstRowLastColumn="0" w:lastRowFirstColumn="0" w:lastRowLastColumn="0"/>
            <w:tcW w:w="3487" w:type="pct"/>
          </w:tcPr>
          <w:p w14:paraId="2382186D" w14:textId="77777777" w:rsidR="00446E73" w:rsidRDefault="00446E73" w:rsidP="00446E73">
            <w:pPr>
              <w:spacing w:after="0" w:line="259" w:lineRule="auto"/>
              <w:ind w:left="360" w:right="0" w:firstLine="0"/>
              <w:jc w:val="left"/>
            </w:pPr>
            <w:r>
              <w:t xml:space="preserve">b. Register all direct production sites on </w:t>
            </w:r>
            <w:proofErr w:type="spellStart"/>
            <w:r>
              <w:t>Sedex</w:t>
            </w:r>
            <w:proofErr w:type="spellEnd"/>
            <w:r>
              <w:t xml:space="preserve">  </w:t>
            </w:r>
          </w:p>
          <w:p w14:paraId="50EFD288" w14:textId="77777777" w:rsidR="00446E73" w:rsidRDefault="00446E73" w:rsidP="00446E73">
            <w:pPr>
              <w:numPr>
                <w:ilvl w:val="0"/>
                <w:numId w:val="9"/>
              </w:numPr>
              <w:spacing w:after="0" w:line="259" w:lineRule="auto"/>
              <w:ind w:right="0" w:hanging="360"/>
              <w:jc w:val="left"/>
            </w:pPr>
            <w:r>
              <w:t xml:space="preserve">Complete </w:t>
            </w:r>
            <w:proofErr w:type="spellStart"/>
            <w:r>
              <w:t>Sedex</w:t>
            </w:r>
            <w:proofErr w:type="spellEnd"/>
            <w:r>
              <w:t xml:space="preserve"> Self-Assessment Questionnaire (SAQ) </w:t>
            </w:r>
          </w:p>
          <w:p w14:paraId="1B6C8972" w14:textId="77777777" w:rsidR="00446E73" w:rsidRDefault="00446E73" w:rsidP="00446E73">
            <w:pPr>
              <w:numPr>
                <w:ilvl w:val="0"/>
                <w:numId w:val="9"/>
              </w:numPr>
              <w:spacing w:after="0" w:line="259" w:lineRule="auto"/>
              <w:ind w:right="0" w:hanging="360"/>
              <w:jc w:val="left"/>
            </w:pPr>
            <w:r>
              <w:t xml:space="preserve">Link to relevant </w:t>
            </w:r>
            <w:r>
              <w:rPr>
                <w:b w:val="0"/>
              </w:rPr>
              <w:t>Incodia</w:t>
            </w:r>
            <w:r>
              <w:t xml:space="preserve"> category on </w:t>
            </w:r>
            <w:proofErr w:type="spellStart"/>
            <w:r>
              <w:t>Sedex</w:t>
            </w:r>
            <w:proofErr w:type="spellEnd"/>
            <w:r>
              <w:t xml:space="preserve"> and grant access rights </w:t>
            </w:r>
          </w:p>
        </w:tc>
        <w:tc>
          <w:tcPr>
            <w:tcW w:w="681" w:type="pct"/>
          </w:tcPr>
          <w:p w14:paraId="2DE18C51" w14:textId="77777777" w:rsidR="00446E73" w:rsidRDefault="00446E73" w:rsidP="00446E73">
            <w:pPr>
              <w:spacing w:after="0" w:line="259" w:lineRule="auto"/>
              <w:ind w:left="36" w:right="0" w:firstLine="0"/>
              <w:jc w:val="center"/>
              <w:cnfStyle w:val="000000000000" w:firstRow="0" w:lastRow="0" w:firstColumn="0" w:lastColumn="0" w:oddVBand="0" w:evenVBand="0" w:oddHBand="0" w:evenHBand="0" w:firstRowFirstColumn="0" w:firstRowLastColumn="0" w:lastRowFirstColumn="0" w:lastRowLastColumn="0"/>
            </w:pPr>
            <w:r>
              <w:rPr>
                <w:sz w:val="32"/>
              </w:rPr>
              <w:t xml:space="preserve"> </w:t>
            </w:r>
          </w:p>
        </w:tc>
        <w:tc>
          <w:tcPr>
            <w:tcW w:w="832" w:type="pct"/>
          </w:tcPr>
          <w:p w14:paraId="40D0D837" w14:textId="77777777" w:rsidR="00446E73" w:rsidRDefault="00446E73" w:rsidP="00446E73">
            <w:pPr>
              <w:spacing w:after="0" w:line="259" w:lineRule="auto"/>
              <w:ind w:left="11" w:right="0" w:firstLine="0"/>
              <w:jc w:val="center"/>
              <w:cnfStyle w:val="000000000000" w:firstRow="0" w:lastRow="0" w:firstColumn="0" w:lastColumn="0" w:oddVBand="0" w:evenVBand="0" w:oddHBand="0" w:evenHBand="0" w:firstRowFirstColumn="0" w:firstRowLastColumn="0" w:lastRowFirstColumn="0" w:lastRowLastColumn="0"/>
            </w:pPr>
            <w:r>
              <w:rPr>
                <w:sz w:val="24"/>
              </w:rPr>
              <w:t xml:space="preserve"> </w:t>
            </w:r>
          </w:p>
        </w:tc>
      </w:tr>
      <w:tr w:rsidR="00446E73" w14:paraId="38E36045" w14:textId="77777777" w:rsidTr="00446E7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487" w:type="pct"/>
          </w:tcPr>
          <w:p w14:paraId="50188CCB" w14:textId="77777777" w:rsidR="00446E73" w:rsidRDefault="00446E73" w:rsidP="00446E73">
            <w:pPr>
              <w:spacing w:after="0" w:line="259" w:lineRule="auto"/>
              <w:ind w:left="360" w:right="0" w:firstLine="0"/>
              <w:jc w:val="left"/>
            </w:pPr>
            <w:r>
              <w:t xml:space="preserve">c. Update </w:t>
            </w:r>
            <w:proofErr w:type="spellStart"/>
            <w:r>
              <w:t>Sedex</w:t>
            </w:r>
            <w:proofErr w:type="spellEnd"/>
            <w:r>
              <w:t xml:space="preserve"> SAQ information at least annually  </w:t>
            </w:r>
          </w:p>
        </w:tc>
        <w:tc>
          <w:tcPr>
            <w:tcW w:w="681" w:type="pct"/>
          </w:tcPr>
          <w:p w14:paraId="58DE3717" w14:textId="77777777" w:rsidR="00446E73" w:rsidRDefault="00446E73" w:rsidP="00446E73">
            <w:pPr>
              <w:spacing w:after="0" w:line="259" w:lineRule="auto"/>
              <w:ind w:left="36" w:right="0" w:firstLine="0"/>
              <w:jc w:val="center"/>
              <w:cnfStyle w:val="000000100000" w:firstRow="0" w:lastRow="0" w:firstColumn="0" w:lastColumn="0" w:oddVBand="0" w:evenVBand="0" w:oddHBand="1" w:evenHBand="0" w:firstRowFirstColumn="0" w:firstRowLastColumn="0" w:lastRowFirstColumn="0" w:lastRowLastColumn="0"/>
            </w:pPr>
            <w:r>
              <w:rPr>
                <w:sz w:val="32"/>
              </w:rPr>
              <w:t xml:space="preserve"> </w:t>
            </w:r>
          </w:p>
        </w:tc>
        <w:tc>
          <w:tcPr>
            <w:tcW w:w="832" w:type="pct"/>
          </w:tcPr>
          <w:p w14:paraId="5FF4440C" w14:textId="77777777" w:rsidR="00446E73" w:rsidRDefault="00446E73" w:rsidP="00446E73">
            <w:pPr>
              <w:spacing w:after="0" w:line="259" w:lineRule="auto"/>
              <w:ind w:left="11" w:right="0" w:firstLine="0"/>
              <w:jc w:val="center"/>
              <w:cnfStyle w:val="000000100000" w:firstRow="0" w:lastRow="0" w:firstColumn="0" w:lastColumn="0" w:oddVBand="0" w:evenVBand="0" w:oddHBand="1" w:evenHBand="0" w:firstRowFirstColumn="0" w:firstRowLastColumn="0" w:lastRowFirstColumn="0" w:lastRowLastColumn="0"/>
            </w:pPr>
            <w:r>
              <w:rPr>
                <w:sz w:val="24"/>
              </w:rPr>
              <w:t xml:space="preserve"> </w:t>
            </w:r>
          </w:p>
        </w:tc>
      </w:tr>
      <w:tr w:rsidR="00446E73" w14:paraId="6B08DC40" w14:textId="77777777" w:rsidTr="00446E73">
        <w:trPr>
          <w:trHeight w:val="1317"/>
        </w:trPr>
        <w:tc>
          <w:tcPr>
            <w:cnfStyle w:val="001000000000" w:firstRow="0" w:lastRow="0" w:firstColumn="1" w:lastColumn="0" w:oddVBand="0" w:evenVBand="0" w:oddHBand="0" w:evenHBand="0" w:firstRowFirstColumn="0" w:firstRowLastColumn="0" w:lastRowFirstColumn="0" w:lastRowLastColumn="0"/>
            <w:tcW w:w="3487" w:type="pct"/>
          </w:tcPr>
          <w:p w14:paraId="05F0FDBA" w14:textId="77777777" w:rsidR="00446E73" w:rsidRDefault="00446E73" w:rsidP="00446E73">
            <w:pPr>
              <w:spacing w:after="8" w:line="247" w:lineRule="auto"/>
              <w:ind w:left="720" w:right="0" w:hanging="360"/>
            </w:pPr>
            <w:r>
              <w:t xml:space="preserve">d. Close off non-conformances raised through ethical audits via </w:t>
            </w:r>
            <w:proofErr w:type="spellStart"/>
            <w:r>
              <w:t>Sedex</w:t>
            </w:r>
            <w:proofErr w:type="spellEnd"/>
            <w:r>
              <w:t xml:space="preserve"> within the appropriate timeframes as specified on the audit Corrective Action Plan </w:t>
            </w:r>
          </w:p>
          <w:p w14:paraId="09428710" w14:textId="77777777" w:rsidR="00446E73" w:rsidRDefault="00446E73" w:rsidP="00446E73">
            <w:pPr>
              <w:numPr>
                <w:ilvl w:val="0"/>
                <w:numId w:val="10"/>
              </w:numPr>
              <w:spacing w:after="0" w:line="259" w:lineRule="auto"/>
              <w:ind w:right="0" w:hanging="360"/>
              <w:jc w:val="left"/>
            </w:pPr>
            <w:r>
              <w:t xml:space="preserve">Any overdue business critical, critical or 3 or more majors will lead to the site being red rated </w:t>
            </w:r>
          </w:p>
          <w:p w14:paraId="58443705" w14:textId="77777777" w:rsidR="00446E73" w:rsidRDefault="00446E73" w:rsidP="00446E73">
            <w:pPr>
              <w:numPr>
                <w:ilvl w:val="0"/>
                <w:numId w:val="10"/>
              </w:numPr>
              <w:spacing w:after="0" w:line="259" w:lineRule="auto"/>
              <w:ind w:right="0" w:hanging="360"/>
              <w:jc w:val="left"/>
            </w:pPr>
            <w:r>
              <w:t xml:space="preserve">1 or 2 major non-conformances will lead to the site being amber rated </w:t>
            </w:r>
          </w:p>
          <w:p w14:paraId="4BFF9C39" w14:textId="77777777" w:rsidR="00446E73" w:rsidRPr="00446E73" w:rsidRDefault="00446E73" w:rsidP="00446E73">
            <w:pPr>
              <w:numPr>
                <w:ilvl w:val="0"/>
                <w:numId w:val="10"/>
              </w:numPr>
              <w:spacing w:after="0" w:line="259" w:lineRule="auto"/>
              <w:ind w:right="0" w:hanging="360"/>
              <w:jc w:val="left"/>
            </w:pPr>
            <w:r>
              <w:t xml:space="preserve">Suppliers </w:t>
            </w:r>
            <w:r>
              <w:rPr>
                <w:u w:val="single" w:color="000000"/>
              </w:rPr>
              <w:t>must</w:t>
            </w:r>
            <w:r>
              <w:t xml:space="preserve"> notify Incodia within 24 hours of an audit revealing a </w:t>
            </w:r>
            <w:proofErr w:type="gramStart"/>
            <w:r>
              <w:t>business critical</w:t>
            </w:r>
            <w:proofErr w:type="gramEnd"/>
            <w:r>
              <w:t xml:space="preserve"> issue  </w:t>
            </w:r>
          </w:p>
          <w:p w14:paraId="281915A5" w14:textId="77777777" w:rsidR="00446E73" w:rsidRDefault="00446E73" w:rsidP="00446E73">
            <w:pPr>
              <w:numPr>
                <w:ilvl w:val="0"/>
                <w:numId w:val="10"/>
              </w:numPr>
              <w:spacing w:after="0" w:line="259" w:lineRule="auto"/>
              <w:ind w:right="0" w:hanging="360"/>
            </w:pPr>
            <w:r>
              <w:t xml:space="preserve">Suppliers </w:t>
            </w:r>
            <w:r>
              <w:rPr>
                <w:u w:val="single" w:color="000000"/>
              </w:rPr>
              <w:t>must</w:t>
            </w:r>
            <w:r>
              <w:t xml:space="preserve"> notify Incodia within 24 hours of any ethical trade related whistle-blower  </w:t>
            </w:r>
          </w:p>
          <w:p w14:paraId="656013BC" w14:textId="77777777" w:rsidR="00446E73" w:rsidRDefault="00446E73" w:rsidP="00446E73">
            <w:pPr>
              <w:numPr>
                <w:ilvl w:val="0"/>
                <w:numId w:val="10"/>
              </w:numPr>
              <w:spacing w:after="15" w:line="241" w:lineRule="auto"/>
              <w:ind w:right="0" w:hanging="360"/>
            </w:pPr>
            <w:r>
              <w:t xml:space="preserve">Ensure all new supplier sites have any business critical, critical, or 3 or more major NCs closed off before production commences.  </w:t>
            </w:r>
          </w:p>
          <w:p w14:paraId="31E2075D" w14:textId="77777777" w:rsidR="00446E73" w:rsidRDefault="00446E73" w:rsidP="00446E73">
            <w:pPr>
              <w:numPr>
                <w:ilvl w:val="0"/>
                <w:numId w:val="10"/>
              </w:numPr>
              <w:spacing w:after="0" w:line="259" w:lineRule="auto"/>
              <w:ind w:right="0" w:hanging="360"/>
              <w:jc w:val="left"/>
            </w:pPr>
            <w:r>
              <w:t>For certain non-conformances which cannot be resolved within the timeframes on the Corrective Action Plan, Incodia will consider a derogation.</w:t>
            </w:r>
          </w:p>
        </w:tc>
        <w:tc>
          <w:tcPr>
            <w:tcW w:w="681" w:type="pct"/>
          </w:tcPr>
          <w:p w14:paraId="47413C1F" w14:textId="77777777" w:rsidR="00446E73" w:rsidRDefault="00446E73" w:rsidP="00446E73">
            <w:pPr>
              <w:spacing w:after="0" w:line="259" w:lineRule="auto"/>
              <w:ind w:left="0" w:right="61" w:firstLine="0"/>
              <w:jc w:val="center"/>
              <w:cnfStyle w:val="000000000000" w:firstRow="0" w:lastRow="0" w:firstColumn="0" w:lastColumn="0" w:oddVBand="0" w:evenVBand="0" w:oddHBand="0" w:evenHBand="0" w:firstRowFirstColumn="0" w:firstRowLastColumn="0" w:lastRowFirstColumn="0" w:lastRowLastColumn="0"/>
            </w:pPr>
          </w:p>
        </w:tc>
        <w:tc>
          <w:tcPr>
            <w:tcW w:w="832" w:type="pct"/>
          </w:tcPr>
          <w:p w14:paraId="2CAC5A17" w14:textId="77777777" w:rsidR="00446E73" w:rsidRDefault="00446E73" w:rsidP="00446E73">
            <w:pPr>
              <w:spacing w:after="0" w:line="259" w:lineRule="auto"/>
              <w:ind w:left="11" w:right="0" w:firstLine="0"/>
              <w:jc w:val="center"/>
              <w:cnfStyle w:val="000000000000" w:firstRow="0" w:lastRow="0" w:firstColumn="0" w:lastColumn="0" w:oddVBand="0" w:evenVBand="0" w:oddHBand="0" w:evenHBand="0" w:firstRowFirstColumn="0" w:firstRowLastColumn="0" w:lastRowFirstColumn="0" w:lastRowLastColumn="0"/>
            </w:pPr>
            <w:r>
              <w:rPr>
                <w:sz w:val="24"/>
              </w:rPr>
              <w:t xml:space="preserve"> </w:t>
            </w:r>
          </w:p>
        </w:tc>
      </w:tr>
      <w:tr w:rsidR="00446E73" w14:paraId="3738B6AF" w14:textId="77777777" w:rsidTr="00446E73">
        <w:trPr>
          <w:cnfStyle w:val="000000100000" w:firstRow="0" w:lastRow="0" w:firstColumn="0" w:lastColumn="0" w:oddVBand="0" w:evenVBand="0" w:oddHBand="1" w:evenHBand="0" w:firstRowFirstColumn="0" w:firstRowLastColumn="0" w:lastRowFirstColumn="0" w:lastRowLastColumn="0"/>
          <w:trHeight w:val="1317"/>
        </w:trPr>
        <w:tc>
          <w:tcPr>
            <w:cnfStyle w:val="001000000000" w:firstRow="0" w:lastRow="0" w:firstColumn="1" w:lastColumn="0" w:oddVBand="0" w:evenVBand="0" w:oddHBand="0" w:evenHBand="0" w:firstRowFirstColumn="0" w:firstRowLastColumn="0" w:lastRowFirstColumn="0" w:lastRowLastColumn="0"/>
            <w:tcW w:w="3487" w:type="pct"/>
          </w:tcPr>
          <w:p w14:paraId="63DB4341" w14:textId="27323DC0" w:rsidR="00446E73" w:rsidRDefault="00446E73" w:rsidP="00446E73">
            <w:pPr>
              <w:spacing w:after="8" w:line="247" w:lineRule="auto"/>
              <w:ind w:left="720" w:right="0" w:hanging="360"/>
            </w:pPr>
            <w:r>
              <w:t xml:space="preserve">e. Allocate sufficient resources to ensure all supplying sites and indirect suppliers comply with legal requirements and Incodia’s Code of Conduct for Ethical Trade. This includes sub-contractors, agents, </w:t>
            </w:r>
            <w:proofErr w:type="gramStart"/>
            <w:r>
              <w:t>homeworkers</w:t>
            </w:r>
            <w:proofErr w:type="gramEnd"/>
            <w:r>
              <w:t xml:space="preserve"> and labour agencies. This supply chain due diligence can be managed via </w:t>
            </w:r>
            <w:proofErr w:type="spellStart"/>
            <w:r>
              <w:t>Sedex</w:t>
            </w:r>
            <w:proofErr w:type="spellEnd"/>
            <w:r>
              <w:t xml:space="preserve"> or other supply chain management platform or tool.</w:t>
            </w:r>
          </w:p>
        </w:tc>
        <w:tc>
          <w:tcPr>
            <w:tcW w:w="681" w:type="pct"/>
          </w:tcPr>
          <w:p w14:paraId="6DB003E1" w14:textId="77777777" w:rsidR="00446E73" w:rsidRDefault="00446E73" w:rsidP="00446E73">
            <w:pPr>
              <w:spacing w:after="0" w:line="259" w:lineRule="auto"/>
              <w:ind w:left="0" w:right="61" w:firstLine="0"/>
              <w:jc w:val="center"/>
              <w:cnfStyle w:val="000000100000" w:firstRow="0" w:lastRow="0" w:firstColumn="0" w:lastColumn="0" w:oddVBand="0" w:evenVBand="0" w:oddHBand="1" w:evenHBand="0" w:firstRowFirstColumn="0" w:firstRowLastColumn="0" w:lastRowFirstColumn="0" w:lastRowLastColumn="0"/>
            </w:pPr>
          </w:p>
        </w:tc>
        <w:tc>
          <w:tcPr>
            <w:tcW w:w="832" w:type="pct"/>
          </w:tcPr>
          <w:p w14:paraId="1491C4D4" w14:textId="77777777" w:rsidR="00446E73" w:rsidRDefault="00446E73" w:rsidP="00446E73">
            <w:pPr>
              <w:spacing w:after="0" w:line="259" w:lineRule="auto"/>
              <w:ind w:left="11" w:right="0" w:firstLine="0"/>
              <w:jc w:val="center"/>
              <w:cnfStyle w:val="000000100000" w:firstRow="0" w:lastRow="0" w:firstColumn="0" w:lastColumn="0" w:oddVBand="0" w:evenVBand="0" w:oddHBand="1" w:evenHBand="0" w:firstRowFirstColumn="0" w:firstRowLastColumn="0" w:lastRowFirstColumn="0" w:lastRowLastColumn="0"/>
              <w:rPr>
                <w:sz w:val="24"/>
              </w:rPr>
            </w:pPr>
          </w:p>
        </w:tc>
      </w:tr>
    </w:tbl>
    <w:p w14:paraId="1BAEA2E2" w14:textId="1349272E" w:rsidR="007C1112" w:rsidRDefault="007C1112">
      <w:pPr>
        <w:spacing w:after="708" w:line="259" w:lineRule="auto"/>
        <w:ind w:left="-1440" w:right="15396" w:firstLine="0"/>
        <w:jc w:val="left"/>
      </w:pPr>
    </w:p>
    <w:p w14:paraId="4C4448E1" w14:textId="634FC30F" w:rsidR="007C1112" w:rsidRDefault="007C1112">
      <w:pPr>
        <w:spacing w:after="864" w:line="259" w:lineRule="auto"/>
        <w:ind w:left="-1440" w:right="15396" w:firstLine="0"/>
        <w:jc w:val="left"/>
      </w:pPr>
    </w:p>
    <w:tbl>
      <w:tblPr>
        <w:tblStyle w:val="GridTable2-Accent1"/>
        <w:tblW w:w="5000" w:type="pct"/>
        <w:tblLayout w:type="fixed"/>
        <w:tblLook w:val="04A0" w:firstRow="1" w:lastRow="0" w:firstColumn="1" w:lastColumn="0" w:noHBand="0" w:noVBand="1"/>
      </w:tblPr>
      <w:tblGrid>
        <w:gridCol w:w="707"/>
        <w:gridCol w:w="5813"/>
        <w:gridCol w:w="1417"/>
        <w:gridCol w:w="1562"/>
      </w:tblGrid>
      <w:tr w:rsidR="007C1112" w14:paraId="31371947" w14:textId="77777777" w:rsidTr="00446E73">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432" w:type="pct"/>
            <w:gridSpan w:val="2"/>
          </w:tcPr>
          <w:p w14:paraId="40CE9B8F" w14:textId="75AAAF2E" w:rsidR="007C1112" w:rsidRDefault="00CF5656">
            <w:pPr>
              <w:spacing w:after="0" w:line="259" w:lineRule="auto"/>
              <w:ind w:left="360" w:right="0" w:hanging="360"/>
            </w:pPr>
            <w:r>
              <w:lastRenderedPageBreak/>
              <w:t>f</w:t>
            </w:r>
            <w:r w:rsidR="00446E73">
              <w:t xml:space="preserve">. Develop an ethical trade strategy for own business and supply chain including all suppliers, </w:t>
            </w:r>
            <w:proofErr w:type="gramStart"/>
            <w:r w:rsidR="00446E73">
              <w:t>contractors</w:t>
            </w:r>
            <w:proofErr w:type="gramEnd"/>
            <w:r w:rsidR="00446E73">
              <w:t xml:space="preserve"> and labour providers  </w:t>
            </w:r>
          </w:p>
        </w:tc>
        <w:tc>
          <w:tcPr>
            <w:tcW w:w="746" w:type="pct"/>
          </w:tcPr>
          <w:p w14:paraId="51329C68" w14:textId="7541A240" w:rsidR="007C1112" w:rsidRDefault="007C1112">
            <w:pPr>
              <w:spacing w:after="0" w:line="259" w:lineRule="auto"/>
              <w:ind w:left="0" w:right="414" w:firstLine="0"/>
              <w:jc w:val="center"/>
              <w:cnfStyle w:val="100000000000" w:firstRow="1" w:lastRow="0" w:firstColumn="0" w:lastColumn="0" w:oddVBand="0" w:evenVBand="0" w:oddHBand="0" w:evenHBand="0" w:firstRowFirstColumn="0" w:firstRowLastColumn="0" w:lastRowFirstColumn="0" w:lastRowLastColumn="0"/>
            </w:pPr>
          </w:p>
        </w:tc>
        <w:tc>
          <w:tcPr>
            <w:tcW w:w="822" w:type="pct"/>
          </w:tcPr>
          <w:p w14:paraId="1DA72B5C" w14:textId="77777777" w:rsidR="007C1112" w:rsidRDefault="00446E73">
            <w:pPr>
              <w:spacing w:after="0" w:line="259" w:lineRule="auto"/>
              <w:ind w:left="0" w:right="347" w:firstLine="0"/>
              <w:jc w:val="center"/>
              <w:cnfStyle w:val="100000000000" w:firstRow="1" w:lastRow="0" w:firstColumn="0" w:lastColumn="0" w:oddVBand="0" w:evenVBand="0" w:oddHBand="0" w:evenHBand="0" w:firstRowFirstColumn="0" w:firstRowLastColumn="0" w:lastRowFirstColumn="0" w:lastRowLastColumn="0"/>
            </w:pPr>
            <w:r>
              <w:rPr>
                <w:sz w:val="24"/>
              </w:rPr>
              <w:t xml:space="preserve"> </w:t>
            </w:r>
          </w:p>
        </w:tc>
      </w:tr>
      <w:tr w:rsidR="007C1112" w14:paraId="13672A33" w14:textId="77777777" w:rsidTr="00446E73">
        <w:trPr>
          <w:cnfStyle w:val="000000100000" w:firstRow="0" w:lastRow="0" w:firstColumn="0" w:lastColumn="0" w:oddVBand="0" w:evenVBand="0" w:oddHBand="1" w:evenHBand="0" w:firstRowFirstColumn="0" w:firstRowLastColumn="0" w:lastRowFirstColumn="0" w:lastRowLastColumn="0"/>
          <w:trHeight w:val="5479"/>
        </w:trPr>
        <w:tc>
          <w:tcPr>
            <w:cnfStyle w:val="001000000000" w:firstRow="0" w:lastRow="0" w:firstColumn="1" w:lastColumn="0" w:oddVBand="0" w:evenVBand="0" w:oddHBand="0" w:evenHBand="0" w:firstRowFirstColumn="0" w:firstRowLastColumn="0" w:lastRowFirstColumn="0" w:lastRowLastColumn="0"/>
            <w:tcW w:w="3432" w:type="pct"/>
            <w:gridSpan w:val="2"/>
          </w:tcPr>
          <w:p w14:paraId="29D17CC1" w14:textId="5D35D538" w:rsidR="007C1112" w:rsidRDefault="00CF5656">
            <w:pPr>
              <w:spacing w:after="38" w:line="259" w:lineRule="auto"/>
              <w:ind w:left="0" w:right="0" w:firstLine="0"/>
              <w:jc w:val="left"/>
            </w:pPr>
            <w:r>
              <w:t>g</w:t>
            </w:r>
            <w:r w:rsidR="00446E73">
              <w:t xml:space="preserve">. Labour Providers </w:t>
            </w:r>
          </w:p>
          <w:p w14:paraId="64ABC849" w14:textId="6E8AD89A" w:rsidR="007C1112" w:rsidRDefault="00446E73">
            <w:pPr>
              <w:numPr>
                <w:ilvl w:val="0"/>
                <w:numId w:val="12"/>
              </w:numPr>
              <w:spacing w:after="15" w:line="241" w:lineRule="auto"/>
              <w:ind w:right="0" w:hanging="360"/>
              <w:jc w:val="left"/>
            </w:pPr>
            <w:r>
              <w:t xml:space="preserve">Work towards compliance with </w:t>
            </w:r>
            <w:r w:rsidR="00CF5656">
              <w:t>Incodia</w:t>
            </w:r>
            <w:r>
              <w:t>’s Supply Chain Policy for the Responsible Use of Labour Providers</w:t>
            </w:r>
          </w:p>
          <w:p w14:paraId="2D2F7FFF" w14:textId="01253583" w:rsidR="007C1112" w:rsidRDefault="00446E73">
            <w:pPr>
              <w:numPr>
                <w:ilvl w:val="0"/>
                <w:numId w:val="12"/>
              </w:numPr>
              <w:spacing w:after="0"/>
              <w:ind w:right="0" w:hanging="360"/>
              <w:jc w:val="left"/>
            </w:pPr>
            <w:r>
              <w:t>Audit labour providers at least annually.</w:t>
            </w:r>
          </w:p>
          <w:p w14:paraId="124E2D8F" w14:textId="77777777" w:rsidR="007C1112" w:rsidRDefault="00446E73">
            <w:pPr>
              <w:numPr>
                <w:ilvl w:val="1"/>
                <w:numId w:val="12"/>
              </w:numPr>
              <w:spacing w:after="0" w:line="261" w:lineRule="auto"/>
              <w:ind w:right="0" w:hanging="360"/>
              <w:jc w:val="left"/>
            </w:pPr>
            <w:r>
              <w:t>This due diligence also applies to labour providers used by any third-party sites which you contract with (</w:t>
            </w:r>
            <w:proofErr w:type="gramStart"/>
            <w:r>
              <w:t>e.g.</w:t>
            </w:r>
            <w:proofErr w:type="gramEnd"/>
            <w:r>
              <w:t xml:space="preserve"> raw materials or packaging materials suppliers). </w:t>
            </w:r>
          </w:p>
          <w:p w14:paraId="5C368B35" w14:textId="77777777" w:rsidR="007C1112" w:rsidRDefault="00446E73">
            <w:pPr>
              <w:numPr>
                <w:ilvl w:val="1"/>
                <w:numId w:val="12"/>
              </w:numPr>
              <w:spacing w:after="39" w:line="259" w:lineRule="auto"/>
              <w:ind w:right="0" w:hanging="360"/>
              <w:jc w:val="left"/>
            </w:pPr>
            <w:r>
              <w:t xml:space="preserve">Audits must include worker interviews and document checks.  </w:t>
            </w:r>
          </w:p>
          <w:p w14:paraId="33875C4D" w14:textId="5A152386" w:rsidR="007C1112" w:rsidRDefault="00446E73">
            <w:pPr>
              <w:numPr>
                <w:ilvl w:val="0"/>
                <w:numId w:val="12"/>
              </w:numPr>
              <w:spacing w:after="30" w:line="280" w:lineRule="auto"/>
              <w:ind w:right="0" w:hanging="360"/>
              <w:jc w:val="left"/>
            </w:pPr>
            <w:r>
              <w:t xml:space="preserve">Suppliers must be able to provide copies of labour provider audits on request to </w:t>
            </w:r>
            <w:r w:rsidR="00CF5656">
              <w:t>Incodia</w:t>
            </w:r>
            <w:r>
              <w:t xml:space="preserve"> that indicate all relevant legislation is complied with.  </w:t>
            </w:r>
          </w:p>
          <w:p w14:paraId="6AECCCF6" w14:textId="77777777" w:rsidR="007C1112" w:rsidRDefault="00446E73">
            <w:pPr>
              <w:numPr>
                <w:ilvl w:val="0"/>
                <w:numId w:val="12"/>
              </w:numPr>
              <w:spacing w:after="0" w:line="280" w:lineRule="auto"/>
              <w:ind w:right="0" w:hanging="360"/>
              <w:jc w:val="left"/>
            </w:pPr>
            <w:r>
              <w:t xml:space="preserve">Where relevant, suppliers must register for the GLAA’s Active Check Service for every labour provider covered by a GLAA licence. See </w:t>
            </w:r>
          </w:p>
          <w:p w14:paraId="197FF527" w14:textId="77777777" w:rsidR="007C1112" w:rsidRDefault="00A11AD1">
            <w:pPr>
              <w:spacing w:after="36" w:line="259" w:lineRule="auto"/>
              <w:ind w:left="360" w:right="0" w:firstLine="0"/>
              <w:jc w:val="left"/>
            </w:pPr>
            <w:hyperlink r:id="rId13">
              <w:r w:rsidR="00446E73">
                <w:rPr>
                  <w:color w:val="0000FF"/>
                  <w:u w:val="single" w:color="0000FF"/>
                </w:rPr>
                <w:t>http://laws.gla.gov.uk/Default.aspx?Menu=Menu&amp;Module=Main/ActiveCheckHome</w:t>
              </w:r>
            </w:hyperlink>
            <w:hyperlink r:id="rId14">
              <w:r w:rsidR="00446E73">
                <w:t xml:space="preserve"> </w:t>
              </w:r>
            </w:hyperlink>
            <w:r w:rsidR="00446E73">
              <w:t xml:space="preserve"> </w:t>
            </w:r>
          </w:p>
          <w:p w14:paraId="5CEC8F57" w14:textId="7800B64D" w:rsidR="007C1112" w:rsidRDefault="00446E73">
            <w:pPr>
              <w:numPr>
                <w:ilvl w:val="0"/>
                <w:numId w:val="12"/>
              </w:numPr>
              <w:spacing w:after="0" w:line="259" w:lineRule="auto"/>
              <w:ind w:right="0" w:hanging="360"/>
              <w:jc w:val="left"/>
            </w:pPr>
            <w:r>
              <w:t xml:space="preserve">All UK sites using agency labour are strongly encouraged to attend Stronger Together and all global suppliers to attend Responsible Recruitment training (see Training Section below). </w:t>
            </w:r>
          </w:p>
        </w:tc>
        <w:tc>
          <w:tcPr>
            <w:tcW w:w="746" w:type="pct"/>
          </w:tcPr>
          <w:p w14:paraId="7A43E2F4" w14:textId="71FA7A71" w:rsidR="007C1112" w:rsidRDefault="007C1112">
            <w:pPr>
              <w:spacing w:after="0" w:line="259" w:lineRule="auto"/>
              <w:ind w:left="0" w:right="414" w:firstLine="0"/>
              <w:jc w:val="center"/>
              <w:cnfStyle w:val="000000100000" w:firstRow="0" w:lastRow="0" w:firstColumn="0" w:lastColumn="0" w:oddVBand="0" w:evenVBand="0" w:oddHBand="1" w:evenHBand="0" w:firstRowFirstColumn="0" w:firstRowLastColumn="0" w:lastRowFirstColumn="0" w:lastRowLastColumn="0"/>
            </w:pPr>
          </w:p>
        </w:tc>
        <w:tc>
          <w:tcPr>
            <w:tcW w:w="822" w:type="pct"/>
          </w:tcPr>
          <w:p w14:paraId="1966AF7E" w14:textId="77777777" w:rsidR="007C1112" w:rsidRDefault="00446E73">
            <w:pPr>
              <w:spacing w:after="0" w:line="259" w:lineRule="auto"/>
              <w:ind w:left="0" w:right="347" w:firstLine="0"/>
              <w:jc w:val="center"/>
              <w:cnfStyle w:val="000000100000" w:firstRow="0" w:lastRow="0" w:firstColumn="0" w:lastColumn="0" w:oddVBand="0" w:evenVBand="0" w:oddHBand="1" w:evenHBand="0" w:firstRowFirstColumn="0" w:firstRowLastColumn="0" w:lastRowFirstColumn="0" w:lastRowLastColumn="0"/>
            </w:pPr>
            <w:r>
              <w:rPr>
                <w:sz w:val="24"/>
              </w:rPr>
              <w:t xml:space="preserve"> </w:t>
            </w:r>
          </w:p>
        </w:tc>
      </w:tr>
      <w:tr w:rsidR="00446E73" w14:paraId="296E442C" w14:textId="77777777" w:rsidTr="00446E73">
        <w:trPr>
          <w:trHeight w:val="283"/>
        </w:trPr>
        <w:tc>
          <w:tcPr>
            <w:cnfStyle w:val="001000000000" w:firstRow="0" w:lastRow="0" w:firstColumn="1" w:lastColumn="0" w:oddVBand="0" w:evenVBand="0" w:oddHBand="0" w:evenHBand="0" w:firstRowFirstColumn="0" w:firstRowLastColumn="0" w:lastRowFirstColumn="0" w:lastRowLastColumn="0"/>
            <w:tcW w:w="372" w:type="pct"/>
          </w:tcPr>
          <w:p w14:paraId="4E41CAB7" w14:textId="43D932B2" w:rsidR="007C1112" w:rsidRDefault="00CF5656">
            <w:pPr>
              <w:spacing w:after="0" w:line="259" w:lineRule="auto"/>
              <w:ind w:left="269" w:right="0" w:firstLine="0"/>
              <w:jc w:val="center"/>
            </w:pPr>
            <w:r>
              <w:t>h</w:t>
            </w:r>
            <w:r w:rsidR="00446E73">
              <w:t xml:space="preserve">. </w:t>
            </w:r>
          </w:p>
        </w:tc>
        <w:tc>
          <w:tcPr>
            <w:tcW w:w="3060" w:type="pct"/>
          </w:tcPr>
          <w:p w14:paraId="4D0AA206" w14:textId="77777777" w:rsidR="007C1112" w:rsidRDefault="00446E73">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t xml:space="preserve">Any </w:t>
            </w:r>
            <w:r>
              <w:rPr>
                <w:b/>
              </w:rPr>
              <w:t>accommodation</w:t>
            </w:r>
            <w:r>
              <w:t xml:space="preserve"> provided to workers must meet at least legal minimum requirements </w:t>
            </w:r>
          </w:p>
        </w:tc>
        <w:tc>
          <w:tcPr>
            <w:tcW w:w="746" w:type="pct"/>
          </w:tcPr>
          <w:p w14:paraId="2BF6AE53" w14:textId="77777777" w:rsidR="007C1112" w:rsidRDefault="007C1112">
            <w:pPr>
              <w:spacing w:after="160"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p>
        </w:tc>
        <w:tc>
          <w:tcPr>
            <w:tcW w:w="822" w:type="pct"/>
          </w:tcPr>
          <w:p w14:paraId="318A8071" w14:textId="77777777" w:rsidR="007C1112" w:rsidRDefault="00446E73">
            <w:pPr>
              <w:spacing w:after="0" w:line="259" w:lineRule="auto"/>
              <w:ind w:left="120" w:right="0" w:firstLine="0"/>
              <w:jc w:val="center"/>
              <w:cnfStyle w:val="000000000000" w:firstRow="0" w:lastRow="0" w:firstColumn="0" w:lastColumn="0" w:oddVBand="0" w:evenVBand="0" w:oddHBand="0" w:evenHBand="0" w:firstRowFirstColumn="0" w:firstRowLastColumn="0" w:lastRowFirstColumn="0" w:lastRowLastColumn="0"/>
            </w:pPr>
            <w:r>
              <w:rPr>
                <w:sz w:val="24"/>
              </w:rPr>
              <w:t xml:space="preserve"> </w:t>
            </w:r>
          </w:p>
        </w:tc>
      </w:tr>
      <w:tr w:rsidR="00446E73" w14:paraId="53CD48D9" w14:textId="77777777" w:rsidTr="00446E73">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372" w:type="pct"/>
          </w:tcPr>
          <w:p w14:paraId="063A0CA7" w14:textId="42484841" w:rsidR="007C1112" w:rsidRDefault="00CF5656">
            <w:pPr>
              <w:spacing w:after="0" w:line="259" w:lineRule="auto"/>
              <w:ind w:left="261" w:right="0" w:firstLine="0"/>
              <w:jc w:val="center"/>
            </w:pPr>
            <w:proofErr w:type="spellStart"/>
            <w:r>
              <w:rPr>
                <w:rFonts w:ascii="Segoe UI Symbol" w:eastAsia="Segoe UI Symbol" w:hAnsi="Segoe UI Symbol" w:cs="Segoe UI Symbol"/>
              </w:rPr>
              <w:t>i</w:t>
            </w:r>
            <w:proofErr w:type="spellEnd"/>
            <w:r w:rsidR="00446E73">
              <w:t xml:space="preserve"> </w:t>
            </w:r>
          </w:p>
        </w:tc>
        <w:tc>
          <w:tcPr>
            <w:tcW w:w="3060" w:type="pct"/>
          </w:tcPr>
          <w:p w14:paraId="7C040CC6" w14:textId="77777777" w:rsidR="007C1112" w:rsidRDefault="00446E73">
            <w:pPr>
              <w:spacing w:after="0" w:line="259" w:lineRule="auto"/>
              <w:ind w:left="4" w:right="52" w:firstLine="0"/>
              <w:cnfStyle w:val="000000100000" w:firstRow="0" w:lastRow="0" w:firstColumn="0" w:lastColumn="0" w:oddVBand="0" w:evenVBand="0" w:oddHBand="1" w:evenHBand="0" w:firstRowFirstColumn="0" w:firstRowLastColumn="0" w:lastRowFirstColumn="0" w:lastRowLastColumn="0"/>
            </w:pPr>
            <w:r>
              <w:t xml:space="preserve">For guidance on UK legal minimum and best practice, see </w:t>
            </w:r>
            <w:r>
              <w:rPr>
                <w:i/>
              </w:rPr>
              <w:t xml:space="preserve">Guidance on Provision of Caravan Accommodation for Temporary Workers in the UK </w:t>
            </w:r>
            <w:r>
              <w:rPr>
                <w:rFonts w:ascii="Calibri" w:eastAsia="Calibri" w:hAnsi="Calibri" w:cs="Calibri"/>
                <w:i/>
              </w:rPr>
              <w:t xml:space="preserve"> </w:t>
            </w:r>
            <w:hyperlink r:id="rId15">
              <w:r>
                <w:rPr>
                  <w:color w:val="0000FF"/>
                  <w:u w:val="single" w:color="0000FF"/>
                </w:rPr>
                <w:t>http://www.freshproduce.org.uk/services/fpc</w:t>
              </w:r>
            </w:hyperlink>
            <w:hyperlink r:id="rId16"/>
            <w:hyperlink r:id="rId17">
              <w:r>
                <w:rPr>
                  <w:color w:val="0000FF"/>
                  <w:u w:val="single" w:color="0000FF"/>
                </w:rPr>
                <w:t>publications/</w:t>
              </w:r>
            </w:hyperlink>
            <w:hyperlink r:id="rId18">
              <w:r>
                <w:t xml:space="preserve"> </w:t>
              </w:r>
            </w:hyperlink>
            <w:r>
              <w:t xml:space="preserve">and Accommodation Webinars (see Training section below). </w:t>
            </w:r>
          </w:p>
        </w:tc>
        <w:tc>
          <w:tcPr>
            <w:tcW w:w="746" w:type="pct"/>
          </w:tcPr>
          <w:p w14:paraId="426B0B47" w14:textId="7239F9A2" w:rsidR="007C1112" w:rsidRDefault="007C1112">
            <w:pPr>
              <w:spacing w:after="0" w:line="259" w:lineRule="auto"/>
              <w:ind w:left="57" w:right="0" w:firstLine="0"/>
              <w:jc w:val="center"/>
              <w:cnfStyle w:val="000000100000" w:firstRow="0" w:lastRow="0" w:firstColumn="0" w:lastColumn="0" w:oddVBand="0" w:evenVBand="0" w:oddHBand="1" w:evenHBand="0" w:firstRowFirstColumn="0" w:firstRowLastColumn="0" w:lastRowFirstColumn="0" w:lastRowLastColumn="0"/>
            </w:pPr>
          </w:p>
        </w:tc>
        <w:tc>
          <w:tcPr>
            <w:tcW w:w="822" w:type="pct"/>
          </w:tcPr>
          <w:p w14:paraId="1F9C8CAB" w14:textId="77777777" w:rsidR="007C1112" w:rsidRDefault="007C1112">
            <w:pPr>
              <w:spacing w:after="16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p>
        </w:tc>
      </w:tr>
    </w:tbl>
    <w:p w14:paraId="69B90026" w14:textId="040554BC" w:rsidR="00532713" w:rsidRDefault="00446E73" w:rsidP="00B07E0D">
      <w:pPr>
        <w:spacing w:after="8" w:line="259" w:lineRule="auto"/>
        <w:ind w:left="1" w:right="0" w:firstLine="0"/>
      </w:pPr>
      <w:r>
        <w:rPr>
          <w:rFonts w:ascii="Calibri" w:eastAsia="Calibri" w:hAnsi="Calibri" w:cs="Calibri"/>
        </w:rPr>
        <w:t xml:space="preserve"> </w:t>
      </w:r>
      <w:r w:rsidR="00532713">
        <w:t xml:space="preserve">Red and Amber Rating Criteria for Overdue Non-Conformances in Third-Party Social Audits </w:t>
      </w:r>
    </w:p>
    <w:p w14:paraId="794792AF" w14:textId="77777777" w:rsidR="00532713" w:rsidRDefault="00532713" w:rsidP="00532713">
      <w:pPr>
        <w:ind w:left="10" w:right="0"/>
      </w:pPr>
      <w:r>
        <w:t xml:space="preserve">The severity of non-conformances resulting from a site’s ethical audit will be graded by Incodia. Overdue business critical, critical issues and ≥ 3 major issues will result in a Critical Red rating. 1 or 2 major overdue issues will result in an Amber rating. Overdue non-conformances are those that are not closed out within the timeframes specified in the audit report. Non-conformances must be closed off on </w:t>
      </w:r>
      <w:proofErr w:type="spellStart"/>
      <w:r>
        <w:t>Sedex</w:t>
      </w:r>
      <w:proofErr w:type="spellEnd"/>
      <w:r>
        <w:t>.</w:t>
      </w:r>
    </w:p>
    <w:p w14:paraId="49D33E75" w14:textId="77777777" w:rsidR="00532713" w:rsidRDefault="00532713" w:rsidP="00532713">
      <w:pPr>
        <w:spacing w:after="0" w:line="259" w:lineRule="auto"/>
        <w:ind w:left="0" w:right="0" w:firstLine="0"/>
        <w:jc w:val="left"/>
      </w:pPr>
      <w:r>
        <w:rPr>
          <w:sz w:val="24"/>
        </w:rPr>
        <w:t xml:space="preserve"> </w:t>
      </w:r>
    </w:p>
    <w:tbl>
      <w:tblPr>
        <w:tblStyle w:val="TableGrid"/>
        <w:tblW w:w="9487" w:type="dxa"/>
        <w:tblInd w:w="7" w:type="dxa"/>
        <w:tblCellMar>
          <w:top w:w="9" w:type="dxa"/>
          <w:left w:w="109" w:type="dxa"/>
          <w:right w:w="348" w:type="dxa"/>
        </w:tblCellMar>
        <w:tblLook w:val="04A0" w:firstRow="1" w:lastRow="0" w:firstColumn="1" w:lastColumn="0" w:noHBand="0" w:noVBand="1"/>
      </w:tblPr>
      <w:tblGrid>
        <w:gridCol w:w="2953"/>
        <w:gridCol w:w="3477"/>
        <w:gridCol w:w="1573"/>
        <w:gridCol w:w="1484"/>
      </w:tblGrid>
      <w:tr w:rsidR="00532713" w14:paraId="1B1BC818" w14:textId="77777777" w:rsidTr="00AC7FEB">
        <w:trPr>
          <w:trHeight w:val="537"/>
        </w:trPr>
        <w:tc>
          <w:tcPr>
            <w:tcW w:w="2954" w:type="dxa"/>
            <w:vMerge w:val="restart"/>
            <w:tcBorders>
              <w:top w:val="single" w:sz="3" w:space="0" w:color="000000"/>
              <w:left w:val="single" w:sz="3" w:space="0" w:color="000000"/>
              <w:bottom w:val="single" w:sz="3" w:space="0" w:color="666666"/>
              <w:right w:val="nil"/>
            </w:tcBorders>
            <w:shd w:val="clear" w:color="auto" w:fill="CCCCCC"/>
            <w:vAlign w:val="center"/>
          </w:tcPr>
          <w:p w14:paraId="480FE426" w14:textId="77777777" w:rsidR="00532713" w:rsidRDefault="00532713" w:rsidP="00AC7FEB">
            <w:pPr>
              <w:spacing w:after="0" w:line="259" w:lineRule="auto"/>
              <w:ind w:left="235" w:right="0" w:firstLine="0"/>
              <w:jc w:val="center"/>
            </w:pPr>
            <w:r>
              <w:rPr>
                <w:b/>
                <w:sz w:val="24"/>
              </w:rPr>
              <w:t xml:space="preserve">Rating </w:t>
            </w:r>
          </w:p>
        </w:tc>
        <w:tc>
          <w:tcPr>
            <w:tcW w:w="6533" w:type="dxa"/>
            <w:gridSpan w:val="3"/>
            <w:tcBorders>
              <w:top w:val="single" w:sz="3" w:space="0" w:color="000000"/>
              <w:left w:val="nil"/>
              <w:bottom w:val="nil"/>
              <w:right w:val="single" w:sz="3" w:space="0" w:color="000000"/>
            </w:tcBorders>
            <w:vAlign w:val="center"/>
          </w:tcPr>
          <w:p w14:paraId="24B050E3" w14:textId="77777777" w:rsidR="00532713" w:rsidRDefault="00532713" w:rsidP="00AC7FEB">
            <w:pPr>
              <w:spacing w:after="0" w:line="259" w:lineRule="auto"/>
              <w:ind w:left="238" w:right="0" w:firstLine="0"/>
              <w:jc w:val="center"/>
            </w:pPr>
            <w:r>
              <w:rPr>
                <w:sz w:val="24"/>
              </w:rPr>
              <w:t xml:space="preserve">Grading of OVERDUE non-conformances </w:t>
            </w:r>
          </w:p>
        </w:tc>
      </w:tr>
      <w:tr w:rsidR="00532713" w14:paraId="048390EF" w14:textId="77777777" w:rsidTr="00AC7FEB">
        <w:trPr>
          <w:trHeight w:val="721"/>
        </w:trPr>
        <w:tc>
          <w:tcPr>
            <w:tcW w:w="0" w:type="auto"/>
            <w:vMerge/>
            <w:tcBorders>
              <w:top w:val="nil"/>
              <w:left w:val="single" w:sz="3" w:space="0" w:color="000000"/>
              <w:bottom w:val="single" w:sz="3" w:space="0" w:color="666666"/>
              <w:right w:val="nil"/>
            </w:tcBorders>
          </w:tcPr>
          <w:p w14:paraId="13D7F9F8" w14:textId="77777777" w:rsidR="00532713" w:rsidRDefault="00532713" w:rsidP="00AC7FEB">
            <w:pPr>
              <w:spacing w:after="160" w:line="259" w:lineRule="auto"/>
              <w:ind w:left="0" w:right="0" w:firstLine="0"/>
              <w:jc w:val="left"/>
            </w:pPr>
          </w:p>
        </w:tc>
        <w:tc>
          <w:tcPr>
            <w:tcW w:w="6533" w:type="dxa"/>
            <w:gridSpan w:val="3"/>
            <w:tcBorders>
              <w:top w:val="nil"/>
              <w:left w:val="nil"/>
              <w:bottom w:val="single" w:sz="3" w:space="0" w:color="666666"/>
              <w:right w:val="single" w:sz="3" w:space="0" w:color="000000"/>
            </w:tcBorders>
            <w:shd w:val="clear" w:color="auto" w:fill="CCCCCC"/>
          </w:tcPr>
          <w:p w14:paraId="5F9D49E0" w14:textId="77777777" w:rsidR="00532713" w:rsidRDefault="00532713" w:rsidP="00AC7FEB">
            <w:pPr>
              <w:spacing w:after="0" w:line="259" w:lineRule="auto"/>
              <w:ind w:left="327" w:right="0" w:firstLine="0"/>
              <w:jc w:val="left"/>
            </w:pPr>
            <w:r>
              <w:rPr>
                <w:b/>
                <w:sz w:val="24"/>
              </w:rPr>
              <w:t xml:space="preserve">Business </w:t>
            </w:r>
          </w:p>
          <w:p w14:paraId="30280BB7" w14:textId="77777777" w:rsidR="00532713" w:rsidRDefault="00532713" w:rsidP="00AC7FEB">
            <w:pPr>
              <w:tabs>
                <w:tab w:val="center" w:pos="2597"/>
                <w:tab w:val="center" w:pos="4153"/>
                <w:tab w:val="right" w:pos="6076"/>
              </w:tabs>
              <w:spacing w:after="0" w:line="259" w:lineRule="auto"/>
              <w:ind w:left="0" w:right="0" w:firstLine="0"/>
              <w:jc w:val="left"/>
            </w:pPr>
            <w:r>
              <w:rPr>
                <w:rFonts w:ascii="Calibri" w:eastAsia="Calibri" w:hAnsi="Calibri" w:cs="Calibri"/>
              </w:rPr>
              <w:tab/>
            </w:r>
            <w:r>
              <w:rPr>
                <w:b/>
                <w:sz w:val="24"/>
              </w:rPr>
              <w:t xml:space="preserve">Critical </w:t>
            </w:r>
            <w:r>
              <w:rPr>
                <w:b/>
                <w:sz w:val="24"/>
              </w:rPr>
              <w:tab/>
              <w:t xml:space="preserve">Major </w:t>
            </w:r>
            <w:r>
              <w:rPr>
                <w:b/>
                <w:sz w:val="24"/>
              </w:rPr>
              <w:tab/>
              <w:t xml:space="preserve">Minor </w:t>
            </w:r>
          </w:p>
          <w:p w14:paraId="0B563031" w14:textId="77777777" w:rsidR="00532713" w:rsidRDefault="00532713" w:rsidP="00AC7FEB">
            <w:pPr>
              <w:spacing w:after="0" w:line="259" w:lineRule="auto"/>
              <w:ind w:left="455" w:right="0" w:firstLine="0"/>
              <w:jc w:val="left"/>
            </w:pPr>
            <w:r>
              <w:rPr>
                <w:b/>
                <w:sz w:val="24"/>
              </w:rPr>
              <w:t xml:space="preserve">Critical </w:t>
            </w:r>
          </w:p>
        </w:tc>
      </w:tr>
      <w:tr w:rsidR="00532713" w14:paraId="6638A64D" w14:textId="77777777" w:rsidTr="00AC7FEB">
        <w:trPr>
          <w:trHeight w:val="685"/>
        </w:trPr>
        <w:tc>
          <w:tcPr>
            <w:tcW w:w="2954" w:type="dxa"/>
            <w:tcBorders>
              <w:top w:val="single" w:sz="3" w:space="0" w:color="666666"/>
              <w:left w:val="single" w:sz="3" w:space="0" w:color="000000"/>
              <w:bottom w:val="single" w:sz="3" w:space="0" w:color="666666"/>
              <w:right w:val="nil"/>
            </w:tcBorders>
            <w:shd w:val="clear" w:color="auto" w:fill="FF0000"/>
          </w:tcPr>
          <w:p w14:paraId="465BDF17" w14:textId="77777777" w:rsidR="00532713" w:rsidRDefault="00532713" w:rsidP="00AC7FEB">
            <w:pPr>
              <w:spacing w:after="0" w:line="259" w:lineRule="auto"/>
              <w:ind w:left="0" w:right="0" w:firstLine="0"/>
              <w:jc w:val="left"/>
            </w:pPr>
            <w:r>
              <w:rPr>
                <w:sz w:val="24"/>
              </w:rPr>
              <w:t xml:space="preserve">RED </w:t>
            </w:r>
          </w:p>
        </w:tc>
        <w:tc>
          <w:tcPr>
            <w:tcW w:w="5049" w:type="dxa"/>
            <w:gridSpan w:val="2"/>
            <w:tcBorders>
              <w:top w:val="single" w:sz="3" w:space="0" w:color="666666"/>
              <w:left w:val="nil"/>
              <w:bottom w:val="single" w:sz="3" w:space="0" w:color="666666"/>
              <w:right w:val="nil"/>
            </w:tcBorders>
            <w:vAlign w:val="center"/>
          </w:tcPr>
          <w:p w14:paraId="4D8A4D05" w14:textId="77777777" w:rsidR="00532713" w:rsidRDefault="00532713" w:rsidP="00AC7FEB">
            <w:pPr>
              <w:tabs>
                <w:tab w:val="center" w:pos="862"/>
                <w:tab w:val="center" w:pos="2598"/>
                <w:tab w:val="center" w:pos="4155"/>
              </w:tabs>
              <w:spacing w:after="0" w:line="259" w:lineRule="auto"/>
              <w:ind w:left="0" w:right="0" w:firstLine="0"/>
              <w:jc w:val="left"/>
            </w:pPr>
            <w:r>
              <w:rPr>
                <w:rFonts w:ascii="Calibri" w:eastAsia="Calibri" w:hAnsi="Calibri" w:cs="Calibri"/>
              </w:rPr>
              <w:tab/>
            </w:r>
            <w:r>
              <w:rPr>
                <w:sz w:val="24"/>
              </w:rPr>
              <w:t xml:space="preserve">≥ 1 </w:t>
            </w:r>
            <w:r>
              <w:rPr>
                <w:sz w:val="24"/>
              </w:rPr>
              <w:tab/>
              <w:t xml:space="preserve">≥ 1 </w:t>
            </w:r>
            <w:r>
              <w:rPr>
                <w:sz w:val="24"/>
              </w:rPr>
              <w:tab/>
              <w:t xml:space="preserve">≥ 3 </w:t>
            </w:r>
          </w:p>
        </w:tc>
        <w:tc>
          <w:tcPr>
            <w:tcW w:w="1484" w:type="dxa"/>
            <w:tcBorders>
              <w:top w:val="single" w:sz="3" w:space="0" w:color="666666"/>
              <w:left w:val="nil"/>
              <w:bottom w:val="single" w:sz="3" w:space="0" w:color="666666"/>
              <w:right w:val="single" w:sz="3" w:space="0" w:color="000000"/>
            </w:tcBorders>
            <w:shd w:val="clear" w:color="auto" w:fill="CCCCCC"/>
            <w:vAlign w:val="center"/>
          </w:tcPr>
          <w:p w14:paraId="4DB9A696" w14:textId="77777777" w:rsidR="00532713" w:rsidRDefault="00532713" w:rsidP="00AC7FEB">
            <w:pPr>
              <w:spacing w:after="0" w:line="259" w:lineRule="auto"/>
              <w:ind w:left="302" w:right="0" w:firstLine="0"/>
              <w:jc w:val="center"/>
            </w:pPr>
            <w:r>
              <w:rPr>
                <w:sz w:val="24"/>
              </w:rPr>
              <w:t xml:space="preserve"> </w:t>
            </w:r>
          </w:p>
        </w:tc>
      </w:tr>
      <w:tr w:rsidR="00532713" w14:paraId="7EF29ABA" w14:textId="77777777" w:rsidTr="00AC7FEB">
        <w:trPr>
          <w:trHeight w:val="687"/>
        </w:trPr>
        <w:tc>
          <w:tcPr>
            <w:tcW w:w="2954" w:type="dxa"/>
            <w:tcBorders>
              <w:top w:val="single" w:sz="3" w:space="0" w:color="666666"/>
              <w:left w:val="single" w:sz="3" w:space="0" w:color="000000"/>
              <w:bottom w:val="single" w:sz="3" w:space="0" w:color="000000"/>
              <w:right w:val="nil"/>
            </w:tcBorders>
            <w:shd w:val="clear" w:color="auto" w:fill="F79646"/>
          </w:tcPr>
          <w:p w14:paraId="2650C1B3" w14:textId="77777777" w:rsidR="00532713" w:rsidRDefault="00532713" w:rsidP="00AC7FEB">
            <w:pPr>
              <w:spacing w:after="0" w:line="259" w:lineRule="auto"/>
              <w:ind w:left="0" w:right="0" w:firstLine="0"/>
              <w:jc w:val="left"/>
            </w:pPr>
            <w:r>
              <w:rPr>
                <w:sz w:val="24"/>
              </w:rPr>
              <w:t xml:space="preserve">AMBER </w:t>
            </w:r>
          </w:p>
        </w:tc>
        <w:tc>
          <w:tcPr>
            <w:tcW w:w="3477" w:type="dxa"/>
            <w:tcBorders>
              <w:top w:val="single" w:sz="3" w:space="0" w:color="666666"/>
              <w:left w:val="nil"/>
              <w:bottom w:val="single" w:sz="3" w:space="0" w:color="000000"/>
              <w:right w:val="nil"/>
            </w:tcBorders>
            <w:shd w:val="clear" w:color="auto" w:fill="CCCCCC"/>
            <w:vAlign w:val="center"/>
          </w:tcPr>
          <w:p w14:paraId="0323AED2" w14:textId="77777777" w:rsidR="00532713" w:rsidRDefault="00532713" w:rsidP="00AC7FEB">
            <w:pPr>
              <w:spacing w:after="0" w:line="259" w:lineRule="auto"/>
              <w:ind w:left="505" w:right="0" w:firstLine="0"/>
              <w:jc w:val="center"/>
            </w:pPr>
            <w:r>
              <w:rPr>
                <w:sz w:val="24"/>
              </w:rPr>
              <w:t xml:space="preserve"> </w:t>
            </w:r>
            <w:r>
              <w:rPr>
                <w:sz w:val="24"/>
              </w:rPr>
              <w:tab/>
              <w:t xml:space="preserve"> </w:t>
            </w:r>
          </w:p>
        </w:tc>
        <w:tc>
          <w:tcPr>
            <w:tcW w:w="1573" w:type="dxa"/>
            <w:tcBorders>
              <w:top w:val="single" w:sz="3" w:space="0" w:color="666666"/>
              <w:left w:val="nil"/>
              <w:bottom w:val="single" w:sz="3" w:space="0" w:color="000000"/>
              <w:right w:val="nil"/>
            </w:tcBorders>
            <w:vAlign w:val="center"/>
          </w:tcPr>
          <w:p w14:paraId="0AF66A03" w14:textId="77777777" w:rsidR="00532713" w:rsidRDefault="00532713" w:rsidP="00AC7FEB">
            <w:pPr>
              <w:spacing w:after="0" w:line="259" w:lineRule="auto"/>
              <w:ind w:left="240" w:right="0" w:firstLine="0"/>
              <w:jc w:val="center"/>
            </w:pPr>
            <w:r>
              <w:rPr>
                <w:sz w:val="24"/>
              </w:rPr>
              <w:t xml:space="preserve">≤ 2 </w:t>
            </w:r>
          </w:p>
        </w:tc>
        <w:tc>
          <w:tcPr>
            <w:tcW w:w="1484" w:type="dxa"/>
            <w:tcBorders>
              <w:top w:val="single" w:sz="3" w:space="0" w:color="666666"/>
              <w:left w:val="nil"/>
              <w:bottom w:val="single" w:sz="3" w:space="0" w:color="000000"/>
              <w:right w:val="single" w:sz="3" w:space="0" w:color="000000"/>
            </w:tcBorders>
            <w:shd w:val="clear" w:color="auto" w:fill="CCCCCC"/>
            <w:vAlign w:val="center"/>
          </w:tcPr>
          <w:p w14:paraId="2A4D9FA7" w14:textId="77777777" w:rsidR="00532713" w:rsidRDefault="00532713" w:rsidP="00AC7FEB">
            <w:pPr>
              <w:spacing w:after="0" w:line="259" w:lineRule="auto"/>
              <w:ind w:left="302" w:right="0" w:firstLine="0"/>
              <w:jc w:val="center"/>
            </w:pPr>
            <w:r>
              <w:rPr>
                <w:sz w:val="24"/>
              </w:rPr>
              <w:t xml:space="preserve"> </w:t>
            </w:r>
          </w:p>
        </w:tc>
      </w:tr>
    </w:tbl>
    <w:p w14:paraId="3AC8EC09" w14:textId="1047AF8A" w:rsidR="007C1112" w:rsidRDefault="00532713" w:rsidP="00B07E0D">
      <w:pPr>
        <w:spacing w:after="30" w:line="259" w:lineRule="auto"/>
        <w:ind w:left="0" w:right="0" w:firstLine="0"/>
        <w:jc w:val="left"/>
      </w:pPr>
      <w:r>
        <w:rPr>
          <w:rFonts w:ascii="Calibri" w:eastAsia="Calibri" w:hAnsi="Calibri" w:cs="Calibri"/>
        </w:rPr>
        <w:t xml:space="preserve"> </w:t>
      </w:r>
    </w:p>
    <w:sectPr w:rsidR="007C1112">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8" w:h="16836"/>
      <w:pgMar w:top="427" w:right="992" w:bottom="705"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8B64" w14:textId="77777777" w:rsidR="000B1E80" w:rsidRDefault="00446E73">
      <w:pPr>
        <w:spacing w:after="0" w:line="240" w:lineRule="auto"/>
      </w:pPr>
      <w:r>
        <w:separator/>
      </w:r>
    </w:p>
  </w:endnote>
  <w:endnote w:type="continuationSeparator" w:id="0">
    <w:p w14:paraId="0F432161" w14:textId="77777777" w:rsidR="000B1E80" w:rsidRDefault="0044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C64D" w14:textId="77777777" w:rsidR="00B07E0D" w:rsidRDefault="00446E73" w:rsidP="00B07E0D">
    <w:pPr>
      <w:pStyle w:val="Footer"/>
    </w:pPr>
    <w:bookmarkStart w:id="0" w:name="_Hlk95911157"/>
    <w:r>
      <w:rPr>
        <w:rFonts w:ascii="Calibri" w:eastAsia="Calibri" w:hAnsi="Calibri" w:cs="Calibri"/>
      </w:rPr>
      <w:t xml:space="preserve"> </w:t>
    </w:r>
    <w:r w:rsidR="00B07E0D">
      <w:t>IMS 43-115, Ver1, 16/02/2022</w:t>
    </w:r>
    <w:r w:rsidR="00B07E0D">
      <w:tab/>
      <w:t>Document Classification: Public</w:t>
    </w:r>
  </w:p>
  <w:bookmarkEnd w:id="0"/>
  <w:p w14:paraId="35603E38" w14:textId="7B6860A5" w:rsidR="007C1112" w:rsidRDefault="007C1112">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F49E" w14:textId="72D6121E" w:rsidR="00B07E0D" w:rsidRDefault="00B07E0D">
    <w:pPr>
      <w:pStyle w:val="Footer"/>
    </w:pPr>
    <w:r>
      <w:t>IMS 43-115, Ver1, 16/02/2022</w:t>
    </w:r>
    <w:r>
      <w:tab/>
      <w:t>Document Classification: Public</w:t>
    </w:r>
  </w:p>
  <w:p w14:paraId="115C96DD" w14:textId="02B1C01E" w:rsidR="007C1112" w:rsidRDefault="007C1112">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05" w:tblpY="15211"/>
      <w:tblOverlap w:val="never"/>
      <w:tblW w:w="9627" w:type="dxa"/>
      <w:tblInd w:w="0" w:type="dxa"/>
      <w:tblCellMar>
        <w:top w:w="67" w:type="dxa"/>
        <w:left w:w="76" w:type="dxa"/>
        <w:right w:w="40" w:type="dxa"/>
      </w:tblCellMar>
      <w:tblLook w:val="04A0" w:firstRow="1" w:lastRow="0" w:firstColumn="1" w:lastColumn="0" w:noHBand="0" w:noVBand="1"/>
    </w:tblPr>
    <w:tblGrid>
      <w:gridCol w:w="988"/>
      <w:gridCol w:w="1272"/>
      <w:gridCol w:w="2805"/>
      <w:gridCol w:w="2161"/>
      <w:gridCol w:w="988"/>
      <w:gridCol w:w="1413"/>
    </w:tblGrid>
    <w:tr w:rsidR="007C1112" w14:paraId="7B1FC2B9" w14:textId="77777777">
      <w:trPr>
        <w:trHeight w:val="308"/>
      </w:trPr>
      <w:tc>
        <w:tcPr>
          <w:tcW w:w="9627" w:type="dxa"/>
          <w:gridSpan w:val="6"/>
          <w:tcBorders>
            <w:top w:val="single" w:sz="3" w:space="0" w:color="000000"/>
            <w:left w:val="single" w:sz="3" w:space="0" w:color="000000"/>
            <w:bottom w:val="single" w:sz="3" w:space="0" w:color="000000"/>
            <w:right w:val="single" w:sz="3" w:space="0" w:color="000000"/>
          </w:tcBorders>
        </w:tcPr>
        <w:p w14:paraId="4342F78D" w14:textId="77777777" w:rsidR="007C1112" w:rsidRDefault="00446E73">
          <w:pPr>
            <w:spacing w:after="0" w:line="259" w:lineRule="auto"/>
            <w:ind w:left="0" w:right="53" w:firstLine="0"/>
            <w:jc w:val="center"/>
          </w:pPr>
          <w:r>
            <w:rPr>
              <w:i/>
              <w:sz w:val="16"/>
            </w:rPr>
            <w:t>© Sainsbury’s Supermarkets Ltd. 2017</w:t>
          </w:r>
          <w:r>
            <w:rPr>
              <w:sz w:val="16"/>
            </w:rPr>
            <w:t xml:space="preserve"> </w:t>
          </w:r>
        </w:p>
      </w:tc>
    </w:tr>
    <w:tr w:rsidR="007C1112" w14:paraId="0CC129F5" w14:textId="77777777">
      <w:trPr>
        <w:trHeight w:val="308"/>
      </w:trPr>
      <w:tc>
        <w:tcPr>
          <w:tcW w:w="988" w:type="dxa"/>
          <w:tcBorders>
            <w:top w:val="single" w:sz="3" w:space="0" w:color="000000"/>
            <w:left w:val="single" w:sz="3" w:space="0" w:color="000000"/>
            <w:bottom w:val="single" w:sz="3" w:space="0" w:color="000000"/>
            <w:right w:val="single" w:sz="3" w:space="0" w:color="000000"/>
          </w:tcBorders>
        </w:tcPr>
        <w:p w14:paraId="0C7E36A2" w14:textId="77777777" w:rsidR="007C1112" w:rsidRDefault="00446E73">
          <w:pPr>
            <w:spacing w:after="0" w:line="259" w:lineRule="auto"/>
            <w:ind w:left="40" w:right="0" w:firstLine="0"/>
            <w:jc w:val="left"/>
          </w:pPr>
          <w:r>
            <w:rPr>
              <w:sz w:val="16"/>
            </w:rPr>
            <w:t xml:space="preserve">Reference </w:t>
          </w:r>
        </w:p>
      </w:tc>
      <w:tc>
        <w:tcPr>
          <w:tcW w:w="1272" w:type="dxa"/>
          <w:tcBorders>
            <w:top w:val="single" w:sz="3" w:space="0" w:color="000000"/>
            <w:left w:val="single" w:sz="3" w:space="0" w:color="000000"/>
            <w:bottom w:val="single" w:sz="3" w:space="0" w:color="000000"/>
            <w:right w:val="single" w:sz="3" w:space="0" w:color="000000"/>
          </w:tcBorders>
        </w:tcPr>
        <w:p w14:paraId="6102AF67" w14:textId="77777777" w:rsidR="007C1112" w:rsidRDefault="00446E73">
          <w:pPr>
            <w:spacing w:after="0" w:line="259" w:lineRule="auto"/>
            <w:ind w:left="56" w:right="0" w:firstLine="0"/>
            <w:jc w:val="left"/>
          </w:pPr>
          <w:r>
            <w:rPr>
              <w:sz w:val="16"/>
            </w:rPr>
            <w:t xml:space="preserve">Issue Number </w:t>
          </w:r>
        </w:p>
      </w:tc>
      <w:tc>
        <w:tcPr>
          <w:tcW w:w="2805" w:type="dxa"/>
          <w:tcBorders>
            <w:top w:val="single" w:sz="3" w:space="0" w:color="000000"/>
            <w:left w:val="single" w:sz="3" w:space="0" w:color="000000"/>
            <w:bottom w:val="single" w:sz="3" w:space="0" w:color="000000"/>
            <w:right w:val="single" w:sz="3" w:space="0" w:color="000000"/>
          </w:tcBorders>
        </w:tcPr>
        <w:p w14:paraId="3F0FF85B" w14:textId="77777777" w:rsidR="007C1112" w:rsidRDefault="00446E73">
          <w:pPr>
            <w:spacing w:after="0" w:line="259" w:lineRule="auto"/>
            <w:ind w:left="0" w:right="40" w:firstLine="0"/>
            <w:jc w:val="center"/>
          </w:pPr>
          <w:r>
            <w:rPr>
              <w:sz w:val="16"/>
            </w:rPr>
            <w:t xml:space="preserve">Owner: </w:t>
          </w:r>
        </w:p>
      </w:tc>
      <w:tc>
        <w:tcPr>
          <w:tcW w:w="2161" w:type="dxa"/>
          <w:tcBorders>
            <w:top w:val="single" w:sz="3" w:space="0" w:color="000000"/>
            <w:left w:val="single" w:sz="3" w:space="0" w:color="000000"/>
            <w:bottom w:val="single" w:sz="3" w:space="0" w:color="000000"/>
            <w:right w:val="single" w:sz="3" w:space="0" w:color="000000"/>
          </w:tcBorders>
        </w:tcPr>
        <w:p w14:paraId="62B79126" w14:textId="77777777" w:rsidR="007C1112" w:rsidRDefault="00446E73">
          <w:pPr>
            <w:spacing w:after="0" w:line="259" w:lineRule="auto"/>
            <w:ind w:left="0" w:right="49" w:firstLine="0"/>
            <w:jc w:val="center"/>
          </w:pPr>
          <w:r>
            <w:rPr>
              <w:sz w:val="16"/>
            </w:rPr>
            <w:t xml:space="preserve">Authorised By: </w:t>
          </w:r>
        </w:p>
      </w:tc>
      <w:tc>
        <w:tcPr>
          <w:tcW w:w="988" w:type="dxa"/>
          <w:tcBorders>
            <w:top w:val="single" w:sz="3" w:space="0" w:color="000000"/>
            <w:left w:val="single" w:sz="3" w:space="0" w:color="000000"/>
            <w:bottom w:val="single" w:sz="3" w:space="0" w:color="000000"/>
            <w:right w:val="single" w:sz="3" w:space="0" w:color="000000"/>
          </w:tcBorders>
        </w:tcPr>
        <w:p w14:paraId="374853B2" w14:textId="77777777" w:rsidR="007C1112" w:rsidRDefault="00446E73">
          <w:pPr>
            <w:spacing w:after="0" w:line="259" w:lineRule="auto"/>
            <w:ind w:left="0" w:right="39" w:firstLine="0"/>
            <w:jc w:val="center"/>
          </w:pPr>
          <w:r>
            <w:rPr>
              <w:sz w:val="16"/>
            </w:rPr>
            <w:t xml:space="preserve">Date </w:t>
          </w:r>
        </w:p>
      </w:tc>
      <w:tc>
        <w:tcPr>
          <w:tcW w:w="1413" w:type="dxa"/>
          <w:tcBorders>
            <w:top w:val="single" w:sz="3" w:space="0" w:color="000000"/>
            <w:left w:val="single" w:sz="3" w:space="0" w:color="000000"/>
            <w:bottom w:val="single" w:sz="3" w:space="0" w:color="000000"/>
            <w:right w:val="single" w:sz="3" w:space="0" w:color="000000"/>
          </w:tcBorders>
        </w:tcPr>
        <w:p w14:paraId="6CBF94ED" w14:textId="77777777" w:rsidR="007C1112" w:rsidRDefault="00446E73">
          <w:pPr>
            <w:spacing w:after="0" w:line="259" w:lineRule="auto"/>
            <w:ind w:left="0" w:right="40" w:firstLine="0"/>
            <w:jc w:val="center"/>
          </w:pPr>
          <w:r>
            <w:rPr>
              <w:sz w:val="16"/>
            </w:rPr>
            <w:t xml:space="preserve">Page Number </w:t>
          </w:r>
        </w:p>
      </w:tc>
    </w:tr>
    <w:tr w:rsidR="007C1112" w14:paraId="09870294" w14:textId="77777777">
      <w:trPr>
        <w:trHeight w:val="540"/>
      </w:trPr>
      <w:tc>
        <w:tcPr>
          <w:tcW w:w="988" w:type="dxa"/>
          <w:tcBorders>
            <w:top w:val="single" w:sz="3" w:space="0" w:color="000000"/>
            <w:left w:val="single" w:sz="3" w:space="0" w:color="000000"/>
            <w:bottom w:val="single" w:sz="3" w:space="0" w:color="000000"/>
            <w:right w:val="single" w:sz="3" w:space="0" w:color="000000"/>
          </w:tcBorders>
          <w:vAlign w:val="center"/>
        </w:tcPr>
        <w:p w14:paraId="6973582B" w14:textId="77777777" w:rsidR="007C1112" w:rsidRDefault="00446E73">
          <w:pPr>
            <w:spacing w:after="0" w:line="259" w:lineRule="auto"/>
            <w:ind w:left="0" w:right="48" w:firstLine="0"/>
            <w:jc w:val="center"/>
          </w:pPr>
          <w:r>
            <w:rPr>
              <w:sz w:val="16"/>
            </w:rPr>
            <w:t xml:space="preserve">SP003 </w:t>
          </w:r>
        </w:p>
      </w:tc>
      <w:tc>
        <w:tcPr>
          <w:tcW w:w="1272" w:type="dxa"/>
          <w:tcBorders>
            <w:top w:val="single" w:sz="3" w:space="0" w:color="000000"/>
            <w:left w:val="single" w:sz="3" w:space="0" w:color="000000"/>
            <w:bottom w:val="single" w:sz="3" w:space="0" w:color="000000"/>
            <w:right w:val="single" w:sz="3" w:space="0" w:color="000000"/>
          </w:tcBorders>
          <w:vAlign w:val="center"/>
        </w:tcPr>
        <w:p w14:paraId="090A645B" w14:textId="77777777" w:rsidR="007C1112" w:rsidRDefault="00446E73">
          <w:pPr>
            <w:spacing w:after="0" w:line="259" w:lineRule="auto"/>
            <w:ind w:left="0" w:right="43" w:firstLine="0"/>
            <w:jc w:val="center"/>
          </w:pPr>
          <w:r>
            <w:rPr>
              <w:sz w:val="16"/>
            </w:rPr>
            <w:t xml:space="preserve">8 </w:t>
          </w:r>
        </w:p>
      </w:tc>
      <w:tc>
        <w:tcPr>
          <w:tcW w:w="2805" w:type="dxa"/>
          <w:tcBorders>
            <w:top w:val="single" w:sz="3" w:space="0" w:color="000000"/>
            <w:left w:val="single" w:sz="3" w:space="0" w:color="000000"/>
            <w:bottom w:val="single" w:sz="3" w:space="0" w:color="000000"/>
            <w:right w:val="single" w:sz="3" w:space="0" w:color="000000"/>
          </w:tcBorders>
        </w:tcPr>
        <w:p w14:paraId="6EB8BEC3" w14:textId="77777777" w:rsidR="007C1112" w:rsidRDefault="00446E73">
          <w:pPr>
            <w:spacing w:after="0" w:line="259" w:lineRule="auto"/>
            <w:ind w:left="52" w:right="0" w:firstLine="0"/>
            <w:jc w:val="left"/>
          </w:pPr>
          <w:r>
            <w:rPr>
              <w:sz w:val="16"/>
            </w:rPr>
            <w:t xml:space="preserve">Social Sustainability &amp; Communities </w:t>
          </w:r>
        </w:p>
        <w:p w14:paraId="407B3886" w14:textId="77777777" w:rsidR="007C1112" w:rsidRDefault="00446E73">
          <w:pPr>
            <w:spacing w:after="0" w:line="259" w:lineRule="auto"/>
            <w:ind w:left="0" w:right="43" w:firstLine="0"/>
            <w:jc w:val="center"/>
          </w:pPr>
          <w:r>
            <w:rPr>
              <w:sz w:val="16"/>
            </w:rPr>
            <w:t xml:space="preserve">Manager </w:t>
          </w:r>
        </w:p>
      </w:tc>
      <w:tc>
        <w:tcPr>
          <w:tcW w:w="2161" w:type="dxa"/>
          <w:tcBorders>
            <w:top w:val="single" w:sz="3" w:space="0" w:color="000000"/>
            <w:left w:val="single" w:sz="3" w:space="0" w:color="000000"/>
            <w:bottom w:val="single" w:sz="3" w:space="0" w:color="000000"/>
            <w:right w:val="single" w:sz="3" w:space="0" w:color="000000"/>
          </w:tcBorders>
          <w:vAlign w:val="center"/>
        </w:tcPr>
        <w:p w14:paraId="523445EB" w14:textId="77777777" w:rsidR="007C1112" w:rsidRDefault="00446E73">
          <w:pPr>
            <w:spacing w:after="0" w:line="259" w:lineRule="auto"/>
            <w:ind w:left="0" w:right="0" w:firstLine="0"/>
            <w:jc w:val="left"/>
          </w:pPr>
          <w:r>
            <w:rPr>
              <w:i/>
              <w:sz w:val="16"/>
            </w:rPr>
            <w:t xml:space="preserve">Technical Operations Group </w:t>
          </w:r>
        </w:p>
      </w:tc>
      <w:tc>
        <w:tcPr>
          <w:tcW w:w="988" w:type="dxa"/>
          <w:tcBorders>
            <w:top w:val="single" w:sz="3" w:space="0" w:color="000000"/>
            <w:left w:val="single" w:sz="3" w:space="0" w:color="000000"/>
            <w:bottom w:val="single" w:sz="3" w:space="0" w:color="000000"/>
            <w:right w:val="single" w:sz="3" w:space="0" w:color="000000"/>
          </w:tcBorders>
          <w:vAlign w:val="center"/>
        </w:tcPr>
        <w:p w14:paraId="3A6B2F06" w14:textId="77777777" w:rsidR="007C1112" w:rsidRDefault="00446E73">
          <w:pPr>
            <w:spacing w:after="0" w:line="259" w:lineRule="auto"/>
            <w:ind w:left="8" w:right="0" w:firstLine="0"/>
            <w:jc w:val="left"/>
          </w:pPr>
          <w:r>
            <w:rPr>
              <w:i/>
              <w:sz w:val="14"/>
            </w:rPr>
            <w:t>1</w:t>
          </w:r>
          <w:r>
            <w:rPr>
              <w:i/>
              <w:sz w:val="14"/>
              <w:vertAlign w:val="superscript"/>
            </w:rPr>
            <w:t>st</w:t>
          </w:r>
          <w:r>
            <w:rPr>
              <w:i/>
              <w:sz w:val="14"/>
            </w:rPr>
            <w:t xml:space="preserve"> April 2020</w:t>
          </w:r>
          <w:r>
            <w:rPr>
              <w:i/>
              <w:sz w:val="16"/>
            </w:rPr>
            <w:t xml:space="preserve"> </w:t>
          </w:r>
        </w:p>
      </w:tc>
      <w:tc>
        <w:tcPr>
          <w:tcW w:w="1413" w:type="dxa"/>
          <w:tcBorders>
            <w:top w:val="single" w:sz="3" w:space="0" w:color="000000"/>
            <w:left w:val="single" w:sz="3" w:space="0" w:color="000000"/>
            <w:bottom w:val="single" w:sz="3" w:space="0" w:color="000000"/>
            <w:right w:val="single" w:sz="3" w:space="0" w:color="000000"/>
          </w:tcBorders>
          <w:vAlign w:val="center"/>
        </w:tcPr>
        <w:p w14:paraId="3CF7CD2D" w14:textId="77777777" w:rsidR="007C1112" w:rsidRDefault="00446E73">
          <w:pPr>
            <w:spacing w:after="0" w:line="259" w:lineRule="auto"/>
            <w:ind w:left="0" w:right="39"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15</w:t>
            </w:r>
          </w:fldSimple>
          <w:r>
            <w:rPr>
              <w:i/>
              <w:sz w:val="16"/>
            </w:rPr>
            <w:t xml:space="preserve"> </w:t>
          </w:r>
        </w:p>
      </w:tc>
    </w:tr>
  </w:tbl>
  <w:p w14:paraId="1B7AA955" w14:textId="77777777" w:rsidR="007C1112" w:rsidRDefault="00446E73">
    <w:pPr>
      <w:spacing w:after="0" w:line="259" w:lineRule="auto"/>
      <w:ind w:left="0" w:righ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EE09" w14:textId="77777777" w:rsidR="00B07E0D" w:rsidRDefault="00B07E0D" w:rsidP="00B07E0D">
    <w:pPr>
      <w:pStyle w:val="Footer"/>
    </w:pPr>
    <w:r>
      <w:t>IMS 43-115, Ver1, 16/02/2022</w:t>
    </w:r>
    <w:r>
      <w:tab/>
      <w:t>Document Classification: 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52E9" w14:textId="77777777" w:rsidR="00A11AD1" w:rsidRDefault="00A11AD1" w:rsidP="00A11AD1">
    <w:pPr>
      <w:pStyle w:val="Footer"/>
    </w:pPr>
    <w:r>
      <w:t>IMS 43-115, Ver1, 16/02/2022</w:t>
    </w:r>
    <w:r>
      <w:tab/>
      <w:t>Document Classification: 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19AB" w14:textId="77777777" w:rsidR="007C1112" w:rsidRDefault="007C111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ACDD" w14:textId="77777777" w:rsidR="007C1112" w:rsidRDefault="00446E73">
      <w:pPr>
        <w:spacing w:after="0" w:line="259" w:lineRule="auto"/>
        <w:ind w:left="0" w:right="0" w:firstLine="0"/>
        <w:jc w:val="left"/>
      </w:pPr>
      <w:r>
        <w:separator/>
      </w:r>
    </w:p>
  </w:footnote>
  <w:footnote w:type="continuationSeparator" w:id="0">
    <w:p w14:paraId="5F5DE038" w14:textId="77777777" w:rsidR="007C1112" w:rsidRDefault="00446E73">
      <w:pPr>
        <w:spacing w:after="0" w:line="259" w:lineRule="auto"/>
        <w:ind w:left="0" w:right="0" w:firstLine="0"/>
        <w:jc w:val="left"/>
      </w:pPr>
      <w:r>
        <w:continuationSeparator/>
      </w:r>
    </w:p>
  </w:footnote>
  <w:footnote w:id="1">
    <w:p w14:paraId="0246E7A8" w14:textId="1BD33C72" w:rsidR="007C1112" w:rsidRPr="00B07E0D" w:rsidRDefault="007C1112" w:rsidP="00B07E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08A5" w14:textId="22B638FC" w:rsidR="007C1112" w:rsidRDefault="007C1112">
    <w:pPr>
      <w:spacing w:after="0" w:line="259" w:lineRule="auto"/>
      <w:ind w:left="0" w:right="7"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F16A" w14:textId="77777777" w:rsidR="007C1112" w:rsidRDefault="00446E73">
    <w:pPr>
      <w:spacing w:after="0" w:line="259" w:lineRule="auto"/>
      <w:ind w:left="0" w:right="7" w:firstLine="0"/>
      <w:jc w:val="center"/>
    </w:pPr>
    <w:r>
      <w:rPr>
        <w:b/>
        <w:sz w:val="24"/>
      </w:rPr>
      <w:t xml:space="preserve">CONFIDENTIAL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65F6" w14:textId="77777777" w:rsidR="007C1112" w:rsidRDefault="007C111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F59A" w14:textId="77777777" w:rsidR="007C1112" w:rsidRDefault="007C1112">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2C22" w14:textId="77777777" w:rsidR="007C1112" w:rsidRDefault="007C111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D50BC"/>
    <w:multiLevelType w:val="hybridMultilevel"/>
    <w:tmpl w:val="0F7EC554"/>
    <w:lvl w:ilvl="0" w:tplc="C47A31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A44C26">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703322">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7CF13E">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02352">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924638">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A684FA">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A486AA">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28E5E8">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B35F6A"/>
    <w:multiLevelType w:val="hybridMultilevel"/>
    <w:tmpl w:val="47005EB0"/>
    <w:lvl w:ilvl="0" w:tplc="EA6823F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C0EC276">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3C857A6">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34A0F50">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0C60F2">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A2E6582">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39A737E">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8CD562">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CF65F06">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1011788"/>
    <w:multiLevelType w:val="hybridMultilevel"/>
    <w:tmpl w:val="C170940A"/>
    <w:lvl w:ilvl="0" w:tplc="F26469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9A7D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D0E7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FACE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42F1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8AD7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BE6B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4A07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89E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FA00E2"/>
    <w:multiLevelType w:val="hybridMultilevel"/>
    <w:tmpl w:val="3BF206C8"/>
    <w:lvl w:ilvl="0" w:tplc="A6823F1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F6F1C8">
      <w:start w:val="1"/>
      <w:numFmt w:val="bullet"/>
      <w:lvlText w:val="o"/>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6ACAFF2">
      <w:start w:val="1"/>
      <w:numFmt w:val="bullet"/>
      <w:lvlText w:val="▪"/>
      <w:lvlJc w:val="left"/>
      <w:pPr>
        <w:ind w:left="2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A422B2E">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BCB1B0">
      <w:start w:val="1"/>
      <w:numFmt w:val="bullet"/>
      <w:lvlText w:val="o"/>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DACB5AE">
      <w:start w:val="1"/>
      <w:numFmt w:val="bullet"/>
      <w:lvlText w:val="▪"/>
      <w:lvlJc w:val="left"/>
      <w:pPr>
        <w:ind w:left="4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EE486BA">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A66540">
      <w:start w:val="1"/>
      <w:numFmt w:val="bullet"/>
      <w:lvlText w:val="o"/>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116C6C2">
      <w:start w:val="1"/>
      <w:numFmt w:val="bullet"/>
      <w:lvlText w:val="▪"/>
      <w:lvlJc w:val="left"/>
      <w:pPr>
        <w:ind w:left="6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4721460"/>
    <w:multiLevelType w:val="hybridMultilevel"/>
    <w:tmpl w:val="A53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B79ED"/>
    <w:multiLevelType w:val="hybridMultilevel"/>
    <w:tmpl w:val="BD4CC2B4"/>
    <w:lvl w:ilvl="0" w:tplc="03C01A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2E463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0C82EBA">
      <w:start w:val="1"/>
      <w:numFmt w:val="bullet"/>
      <w:lvlText w:val="▪"/>
      <w:lvlJc w:val="left"/>
      <w:pPr>
        <w:ind w:left="22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56866BA">
      <w:start w:val="1"/>
      <w:numFmt w:val="bullet"/>
      <w:lvlText w:val="•"/>
      <w:lvlJc w:val="left"/>
      <w:pPr>
        <w:ind w:left="29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31A3E16">
      <w:start w:val="1"/>
      <w:numFmt w:val="bullet"/>
      <w:lvlText w:val="o"/>
      <w:lvlJc w:val="left"/>
      <w:pPr>
        <w:ind w:left="3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BC22CB6">
      <w:start w:val="1"/>
      <w:numFmt w:val="bullet"/>
      <w:lvlText w:val="▪"/>
      <w:lvlJc w:val="left"/>
      <w:pPr>
        <w:ind w:left="4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14462C4">
      <w:start w:val="1"/>
      <w:numFmt w:val="bullet"/>
      <w:lvlText w:val="•"/>
      <w:lvlJc w:val="left"/>
      <w:pPr>
        <w:ind w:left="51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AB85BB8">
      <w:start w:val="1"/>
      <w:numFmt w:val="bullet"/>
      <w:lvlText w:val="o"/>
      <w:lvlJc w:val="left"/>
      <w:pPr>
        <w:ind w:left="58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E242FEC">
      <w:start w:val="1"/>
      <w:numFmt w:val="bullet"/>
      <w:lvlText w:val="▪"/>
      <w:lvlJc w:val="left"/>
      <w:pPr>
        <w:ind w:left="65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AE5C2B"/>
    <w:multiLevelType w:val="multilevel"/>
    <w:tmpl w:val="571066D6"/>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CA4B76"/>
    <w:multiLevelType w:val="hybridMultilevel"/>
    <w:tmpl w:val="862CCFEE"/>
    <w:lvl w:ilvl="0" w:tplc="64881E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4C1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BEAE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7843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40BE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5C21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6225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491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06F2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E02A0E"/>
    <w:multiLevelType w:val="hybridMultilevel"/>
    <w:tmpl w:val="1FD825DE"/>
    <w:lvl w:ilvl="0" w:tplc="2006F6B8">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F88040">
      <w:start w:val="1"/>
      <w:numFmt w:val="bullet"/>
      <w:lvlText w:val="o"/>
      <w:lvlJc w:val="left"/>
      <w:pPr>
        <w:ind w:left="1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545130">
      <w:start w:val="1"/>
      <w:numFmt w:val="bullet"/>
      <w:lvlText w:val="▪"/>
      <w:lvlJc w:val="left"/>
      <w:pPr>
        <w:ind w:left="2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304682">
      <w:start w:val="1"/>
      <w:numFmt w:val="bullet"/>
      <w:lvlText w:val="•"/>
      <w:lvlJc w:val="left"/>
      <w:pPr>
        <w:ind w:left="2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7A9ABA">
      <w:start w:val="1"/>
      <w:numFmt w:val="bullet"/>
      <w:lvlText w:val="o"/>
      <w:lvlJc w:val="left"/>
      <w:pPr>
        <w:ind w:left="3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769620">
      <w:start w:val="1"/>
      <w:numFmt w:val="bullet"/>
      <w:lvlText w:val="▪"/>
      <w:lvlJc w:val="left"/>
      <w:pPr>
        <w:ind w:left="4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882AFA">
      <w:start w:val="1"/>
      <w:numFmt w:val="bullet"/>
      <w:lvlText w:val="•"/>
      <w:lvlJc w:val="left"/>
      <w:pPr>
        <w:ind w:left="5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D40746">
      <w:start w:val="1"/>
      <w:numFmt w:val="bullet"/>
      <w:lvlText w:val="o"/>
      <w:lvlJc w:val="left"/>
      <w:pPr>
        <w:ind w:left="5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52F1E0">
      <w:start w:val="1"/>
      <w:numFmt w:val="bullet"/>
      <w:lvlText w:val="▪"/>
      <w:lvlJc w:val="left"/>
      <w:pPr>
        <w:ind w:left="6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8B74B9"/>
    <w:multiLevelType w:val="hybridMultilevel"/>
    <w:tmpl w:val="58E6F166"/>
    <w:lvl w:ilvl="0" w:tplc="9CD2C0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E66D4">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58D34E">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C8B9EE">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B4DBD8">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4A7F1C">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72FE36">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DAB392">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724B9C">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2602591"/>
    <w:multiLevelType w:val="hybridMultilevel"/>
    <w:tmpl w:val="E47861B8"/>
    <w:lvl w:ilvl="0" w:tplc="3856B2F6">
      <w:start w:val="1"/>
      <w:numFmt w:val="bullet"/>
      <w:lvlText w:val="•"/>
      <w:lvlJc w:val="left"/>
      <w:pPr>
        <w:ind w:left="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003E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20DB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DAFB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B6CF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BEB3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E61F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AE0C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98D8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587D00"/>
    <w:multiLevelType w:val="hybridMultilevel"/>
    <w:tmpl w:val="72127700"/>
    <w:lvl w:ilvl="0" w:tplc="DC1801B0">
      <w:start w:val="1"/>
      <w:numFmt w:val="lowerLetter"/>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82B0E">
      <w:start w:val="1"/>
      <w:numFmt w:val="lowerLetter"/>
      <w:lvlText w:val="%2"/>
      <w:lvlJc w:val="left"/>
      <w:pPr>
        <w:ind w:left="2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78DF26">
      <w:start w:val="1"/>
      <w:numFmt w:val="lowerRoman"/>
      <w:lvlText w:val="%3"/>
      <w:lvlJc w:val="left"/>
      <w:pPr>
        <w:ind w:left="3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A5382">
      <w:start w:val="1"/>
      <w:numFmt w:val="decimal"/>
      <w:lvlText w:val="%4"/>
      <w:lvlJc w:val="left"/>
      <w:pPr>
        <w:ind w:left="4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626364">
      <w:start w:val="1"/>
      <w:numFmt w:val="lowerLetter"/>
      <w:lvlText w:val="%5"/>
      <w:lvlJc w:val="left"/>
      <w:pPr>
        <w:ind w:left="4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A8B7BA">
      <w:start w:val="1"/>
      <w:numFmt w:val="lowerRoman"/>
      <w:lvlText w:val="%6"/>
      <w:lvlJc w:val="left"/>
      <w:pPr>
        <w:ind w:left="5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DA3E70">
      <w:start w:val="1"/>
      <w:numFmt w:val="decimal"/>
      <w:lvlText w:val="%7"/>
      <w:lvlJc w:val="left"/>
      <w:pPr>
        <w:ind w:left="6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61022">
      <w:start w:val="1"/>
      <w:numFmt w:val="lowerLetter"/>
      <w:lvlText w:val="%8"/>
      <w:lvlJc w:val="left"/>
      <w:pPr>
        <w:ind w:left="7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0AC1A0">
      <w:start w:val="1"/>
      <w:numFmt w:val="lowerRoman"/>
      <w:lvlText w:val="%9"/>
      <w:lvlJc w:val="left"/>
      <w:pPr>
        <w:ind w:left="7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CC4E68"/>
    <w:multiLevelType w:val="hybridMultilevel"/>
    <w:tmpl w:val="52E814A2"/>
    <w:lvl w:ilvl="0" w:tplc="FF2AB7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4542A">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925BF6">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8892AC">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6434E2">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DAE216">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0CD19E">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84182">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6636A">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0"/>
  </w:num>
  <w:num w:numId="3">
    <w:abstractNumId w:val="7"/>
  </w:num>
  <w:num w:numId="4">
    <w:abstractNumId w:val="11"/>
  </w:num>
  <w:num w:numId="5">
    <w:abstractNumId w:val="6"/>
  </w:num>
  <w:num w:numId="6">
    <w:abstractNumId w:val="2"/>
  </w:num>
  <w:num w:numId="7">
    <w:abstractNumId w:val="3"/>
  </w:num>
  <w:num w:numId="8">
    <w:abstractNumId w:val="1"/>
  </w:num>
  <w:num w:numId="9">
    <w:abstractNumId w:val="9"/>
  </w:num>
  <w:num w:numId="10">
    <w:abstractNumId w:val="12"/>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12"/>
    <w:rsid w:val="000B1E80"/>
    <w:rsid w:val="000B2B96"/>
    <w:rsid w:val="00240C71"/>
    <w:rsid w:val="00367BA5"/>
    <w:rsid w:val="00406EFE"/>
    <w:rsid w:val="00446E73"/>
    <w:rsid w:val="00532713"/>
    <w:rsid w:val="006B1B4F"/>
    <w:rsid w:val="00715B4D"/>
    <w:rsid w:val="007C1112"/>
    <w:rsid w:val="009F10F4"/>
    <w:rsid w:val="00A11AD1"/>
    <w:rsid w:val="00B07E0D"/>
    <w:rsid w:val="00CF5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AF19"/>
  <w15:docId w15:val="{670F1571-64C6-4E0C-8EC9-86A0C092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6" w:right="1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4" w:line="267" w:lineRule="auto"/>
      <w:ind w:left="46"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 w:line="267" w:lineRule="auto"/>
      <w:ind w:left="46"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320"/>
      <w:ind w:left="10" w:right="4" w:hanging="10"/>
      <w:jc w:val="center"/>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5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B4D"/>
    <w:rPr>
      <w:rFonts w:ascii="Arial" w:eastAsia="Arial" w:hAnsi="Arial" w:cs="Arial"/>
      <w:color w:val="000000"/>
    </w:rPr>
  </w:style>
  <w:style w:type="character" w:styleId="Hyperlink">
    <w:name w:val="Hyperlink"/>
    <w:basedOn w:val="DefaultParagraphFont"/>
    <w:uiPriority w:val="99"/>
    <w:unhideWhenUsed/>
    <w:rsid w:val="00367BA5"/>
    <w:rPr>
      <w:color w:val="0563C1" w:themeColor="hyperlink"/>
      <w:u w:val="single"/>
    </w:rPr>
  </w:style>
  <w:style w:type="character" w:styleId="UnresolvedMention">
    <w:name w:val="Unresolved Mention"/>
    <w:basedOn w:val="DefaultParagraphFont"/>
    <w:uiPriority w:val="99"/>
    <w:semiHidden/>
    <w:unhideWhenUsed/>
    <w:rsid w:val="00367BA5"/>
    <w:rPr>
      <w:color w:val="605E5C"/>
      <w:shd w:val="clear" w:color="auto" w:fill="E1DFDD"/>
    </w:rPr>
  </w:style>
  <w:style w:type="paragraph" w:styleId="ListParagraph">
    <w:name w:val="List Paragraph"/>
    <w:basedOn w:val="Normal"/>
    <w:uiPriority w:val="34"/>
    <w:qFormat/>
    <w:rsid w:val="00367BA5"/>
    <w:pPr>
      <w:ind w:left="720"/>
      <w:contextualSpacing/>
    </w:pPr>
  </w:style>
  <w:style w:type="table" w:styleId="GridTable4-Accent5">
    <w:name w:val="Grid Table 4 Accent 5"/>
    <w:basedOn w:val="TableNormal"/>
    <w:uiPriority w:val="49"/>
    <w:rsid w:val="006B1B4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CF5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CF565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er">
    <w:name w:val="footer"/>
    <w:basedOn w:val="Normal"/>
    <w:link w:val="FooterChar"/>
    <w:uiPriority w:val="99"/>
    <w:unhideWhenUsed/>
    <w:rsid w:val="00B07E0D"/>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07E0D"/>
    <w:rPr>
      <w:rFonts w:cs="Times New Roman"/>
      <w:lang w:val="en-US" w:eastAsia="en-US"/>
    </w:rPr>
  </w:style>
  <w:style w:type="paragraph" w:styleId="FootnoteText">
    <w:name w:val="footnote text"/>
    <w:basedOn w:val="Normal"/>
    <w:link w:val="FootnoteTextChar"/>
    <w:uiPriority w:val="99"/>
    <w:semiHidden/>
    <w:unhideWhenUsed/>
    <w:rsid w:val="00B07E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E0D"/>
    <w:rPr>
      <w:rFonts w:ascii="Arial" w:eastAsia="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aws.gla.gov.uk/Default.aspx?Menu=Menu&amp;Module=Main/ActiveCheckHome" TargetMode="External"/><Relationship Id="rId18" Type="http://schemas.openxmlformats.org/officeDocument/2006/relationships/hyperlink" Target="http://www.freshproduce.org.uk/services/fpc-publicat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ethicaltrade.org/eti-base-code" TargetMode="External"/><Relationship Id="rId12" Type="http://schemas.openxmlformats.org/officeDocument/2006/relationships/footer" Target="footer3.xml"/><Relationship Id="rId17" Type="http://schemas.openxmlformats.org/officeDocument/2006/relationships/hyperlink" Target="http://www.freshproduce.org.uk/services/fpc-publicatio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reshproduce.org.uk/services/fpc-publications/"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freshproduce.org.uk/services/fpc-publications/" TargetMode="Externa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laws.gla.gov.uk/Default.aspx?Menu=Menu&amp;Module=Main/ActiveCheckHome"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2632</Words>
  <Characters>15004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Velez</dc:creator>
  <cp:keywords/>
  <cp:lastModifiedBy>John Austen</cp:lastModifiedBy>
  <cp:revision>2</cp:revision>
  <dcterms:created xsi:type="dcterms:W3CDTF">2022-02-16T13:40:00Z</dcterms:created>
  <dcterms:modified xsi:type="dcterms:W3CDTF">2022-02-16T13:40:00Z</dcterms:modified>
</cp:coreProperties>
</file>